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9" w:rsidRPr="003E0F5A" w:rsidRDefault="00AD542D" w:rsidP="00E7365B">
      <w:pPr>
        <w:jc w:val="center"/>
        <w:rPr>
          <w:sz w:val="20"/>
          <w:szCs w:val="20"/>
          <w:u w:val="single"/>
        </w:rPr>
      </w:pPr>
      <w:bookmarkStart w:id="0" w:name="_GoBack"/>
      <w:bookmarkEnd w:id="0"/>
      <w:r w:rsidRPr="003E0F5A">
        <w:rPr>
          <w:sz w:val="20"/>
          <w:szCs w:val="20"/>
          <w:u w:val="single"/>
        </w:rPr>
        <w:t xml:space="preserve">Evaluatie </w:t>
      </w:r>
      <w:r w:rsidR="00E7365B" w:rsidRPr="003E0F5A">
        <w:rPr>
          <w:sz w:val="20"/>
          <w:szCs w:val="20"/>
          <w:u w:val="single"/>
        </w:rPr>
        <w:t>‘brugprojecten’</w:t>
      </w:r>
      <w:r w:rsidRPr="003E0F5A">
        <w:rPr>
          <w:sz w:val="20"/>
          <w:szCs w:val="20"/>
          <w:u w:val="single"/>
        </w:rPr>
        <w:t xml:space="preserve"> schooljaar 2016-2017</w:t>
      </w:r>
    </w:p>
    <w:p w:rsidR="00AD542D" w:rsidRPr="003E0F5A" w:rsidRDefault="00AD542D" w:rsidP="00AD542D">
      <w:pPr>
        <w:pStyle w:val="Lijstalinea"/>
        <w:numPr>
          <w:ilvl w:val="0"/>
          <w:numId w:val="1"/>
        </w:numPr>
        <w:rPr>
          <w:sz w:val="20"/>
          <w:szCs w:val="20"/>
        </w:rPr>
      </w:pPr>
      <w:r w:rsidRPr="003E0F5A">
        <w:rPr>
          <w:sz w:val="20"/>
          <w:szCs w:val="20"/>
        </w:rPr>
        <w:t>De geplande activiteit en bijhorende doelstelling</w:t>
      </w:r>
    </w:p>
    <w:p w:rsidR="00AD542D" w:rsidRPr="003E0F5A" w:rsidRDefault="00AD542D" w:rsidP="00AD542D">
      <w:pPr>
        <w:rPr>
          <w:sz w:val="20"/>
          <w:szCs w:val="20"/>
        </w:rPr>
      </w:pPr>
      <w:r w:rsidRPr="003E0F5A">
        <w:rPr>
          <w:sz w:val="20"/>
          <w:szCs w:val="20"/>
        </w:rPr>
        <w:t>Jongeren kennis laten maken met de sector en hen een eerste zinvolle werkervaring bieden, is hetgeen schuilgaat achter de ‘brugprojecten’, waarbij werkervaringsplaatsen gecreëerd worden voor deeltijds leren. De jongeren volg</w:t>
      </w:r>
      <w:r w:rsidR="00CA0BB0" w:rsidRPr="003E0F5A">
        <w:rPr>
          <w:sz w:val="20"/>
          <w:szCs w:val="20"/>
        </w:rPr>
        <w:t>d</w:t>
      </w:r>
      <w:r w:rsidRPr="003E0F5A">
        <w:rPr>
          <w:sz w:val="20"/>
          <w:szCs w:val="20"/>
        </w:rPr>
        <w:t>en 2 dagen les in een centrum voor deeltijds onderwijs (C</w:t>
      </w:r>
      <w:r w:rsidR="00CA0BB0" w:rsidRPr="003E0F5A">
        <w:rPr>
          <w:sz w:val="20"/>
          <w:szCs w:val="20"/>
        </w:rPr>
        <w:t>DO). 3 dagen tewerkstelling vulde</w:t>
      </w:r>
      <w:r w:rsidRPr="003E0F5A">
        <w:rPr>
          <w:sz w:val="20"/>
          <w:szCs w:val="20"/>
        </w:rPr>
        <w:t xml:space="preserve"> de theoretische lessen aan.</w:t>
      </w:r>
    </w:p>
    <w:p w:rsidR="00AD542D" w:rsidRPr="003E0F5A" w:rsidRDefault="00F05100" w:rsidP="00AD542D">
      <w:pPr>
        <w:rPr>
          <w:sz w:val="20"/>
          <w:szCs w:val="20"/>
        </w:rPr>
      </w:pPr>
      <w:r w:rsidRPr="003E0F5A">
        <w:rPr>
          <w:sz w:val="20"/>
          <w:szCs w:val="20"/>
        </w:rPr>
        <w:t>Het CDO (her)oriënteerde</w:t>
      </w:r>
      <w:r w:rsidR="00AD542D" w:rsidRPr="003E0F5A">
        <w:rPr>
          <w:sz w:val="20"/>
          <w:szCs w:val="20"/>
        </w:rPr>
        <w:t xml:space="preserve"> jongeren (-18j) die nog niet arbeidsrijp zijn naar een brugproject waar binnen de werkervaring gewerkt w</w:t>
      </w:r>
      <w:r w:rsidRPr="003E0F5A">
        <w:rPr>
          <w:sz w:val="20"/>
          <w:szCs w:val="20"/>
        </w:rPr>
        <w:t>erd</w:t>
      </w:r>
      <w:r w:rsidR="00AD542D" w:rsidRPr="003E0F5A">
        <w:rPr>
          <w:sz w:val="20"/>
          <w:szCs w:val="20"/>
        </w:rPr>
        <w:t xml:space="preserve"> aan:</w:t>
      </w:r>
    </w:p>
    <w:p w:rsidR="00AD542D" w:rsidRPr="003E0F5A" w:rsidRDefault="00AD542D" w:rsidP="00AD542D">
      <w:pPr>
        <w:pStyle w:val="Lijstalinea"/>
        <w:numPr>
          <w:ilvl w:val="0"/>
          <w:numId w:val="2"/>
        </w:numPr>
        <w:rPr>
          <w:sz w:val="20"/>
          <w:szCs w:val="20"/>
        </w:rPr>
      </w:pPr>
      <w:r w:rsidRPr="003E0F5A">
        <w:rPr>
          <w:sz w:val="20"/>
          <w:szCs w:val="20"/>
        </w:rPr>
        <w:t>Algemene arbeidsattitudes</w:t>
      </w:r>
    </w:p>
    <w:p w:rsidR="00AD542D" w:rsidRPr="003E0F5A" w:rsidRDefault="00AD542D" w:rsidP="00AD542D">
      <w:pPr>
        <w:pStyle w:val="Lijstalinea"/>
        <w:numPr>
          <w:ilvl w:val="0"/>
          <w:numId w:val="2"/>
        </w:numPr>
        <w:rPr>
          <w:sz w:val="20"/>
          <w:szCs w:val="20"/>
        </w:rPr>
      </w:pPr>
      <w:r w:rsidRPr="003E0F5A">
        <w:rPr>
          <w:sz w:val="20"/>
          <w:szCs w:val="20"/>
        </w:rPr>
        <w:t>Technische vaardigheden en werkmethodes</w:t>
      </w:r>
    </w:p>
    <w:p w:rsidR="00AD542D" w:rsidRPr="003E0F5A" w:rsidRDefault="00AD542D" w:rsidP="00AD542D">
      <w:pPr>
        <w:pStyle w:val="Lijstalinea"/>
        <w:numPr>
          <w:ilvl w:val="0"/>
          <w:numId w:val="2"/>
        </w:numPr>
        <w:rPr>
          <w:sz w:val="20"/>
          <w:szCs w:val="20"/>
        </w:rPr>
      </w:pPr>
      <w:r w:rsidRPr="003E0F5A">
        <w:rPr>
          <w:sz w:val="20"/>
          <w:szCs w:val="20"/>
        </w:rPr>
        <w:t>Concreet en realistisch zelfbeeld</w:t>
      </w:r>
    </w:p>
    <w:p w:rsidR="00AD542D" w:rsidRPr="003E0F5A" w:rsidRDefault="00AD542D" w:rsidP="00AD542D">
      <w:pPr>
        <w:rPr>
          <w:sz w:val="20"/>
          <w:szCs w:val="20"/>
        </w:rPr>
      </w:pPr>
      <w:r w:rsidRPr="003E0F5A">
        <w:rPr>
          <w:sz w:val="20"/>
          <w:szCs w:val="20"/>
        </w:rPr>
        <w:t xml:space="preserve">Het uiteindelijke doel van een brugproject </w:t>
      </w:r>
      <w:r w:rsidR="00CA0BB0" w:rsidRPr="003E0F5A">
        <w:rPr>
          <w:sz w:val="20"/>
          <w:szCs w:val="20"/>
        </w:rPr>
        <w:t>was</w:t>
      </w:r>
      <w:r w:rsidRPr="003E0F5A">
        <w:rPr>
          <w:sz w:val="20"/>
          <w:szCs w:val="20"/>
        </w:rPr>
        <w:t xml:space="preserve"> de jongere te begeleiden naar regulier deeltijds werk.</w:t>
      </w:r>
    </w:p>
    <w:p w:rsidR="00AD542D" w:rsidRPr="003E0F5A" w:rsidRDefault="00AD542D" w:rsidP="00AD542D">
      <w:pPr>
        <w:rPr>
          <w:sz w:val="20"/>
          <w:szCs w:val="20"/>
        </w:rPr>
      </w:pPr>
      <w:r w:rsidRPr="003E0F5A">
        <w:rPr>
          <w:sz w:val="20"/>
          <w:szCs w:val="20"/>
        </w:rPr>
        <w:t xml:space="preserve">Naast de begeleiding van de jongere in </w:t>
      </w:r>
      <w:r w:rsidR="00CA0BB0" w:rsidRPr="003E0F5A">
        <w:rPr>
          <w:sz w:val="20"/>
          <w:szCs w:val="20"/>
        </w:rPr>
        <w:t>de</w:t>
      </w:r>
      <w:r w:rsidRPr="003E0F5A">
        <w:rPr>
          <w:sz w:val="20"/>
          <w:szCs w:val="20"/>
        </w:rPr>
        <w:t xml:space="preserve"> sociale werkplaats (werkgever) – waar eenzelfde begeleidingsnorm gehanteerd wordt als voor de interne doelgroepmedewerker – w</w:t>
      </w:r>
      <w:r w:rsidR="00CA0BB0" w:rsidRPr="003E0F5A">
        <w:rPr>
          <w:sz w:val="20"/>
          <w:szCs w:val="20"/>
        </w:rPr>
        <w:t>erd</w:t>
      </w:r>
      <w:r w:rsidRPr="003E0F5A">
        <w:rPr>
          <w:sz w:val="20"/>
          <w:szCs w:val="20"/>
        </w:rPr>
        <w:t xml:space="preserve"> de jongere in een brugproject eveneens begeleid door het CDO en door de organisator van het project zelf.</w:t>
      </w:r>
    </w:p>
    <w:p w:rsidR="00AD542D" w:rsidRPr="003E0F5A" w:rsidRDefault="00AD542D" w:rsidP="00AD542D">
      <w:pPr>
        <w:rPr>
          <w:sz w:val="20"/>
          <w:szCs w:val="20"/>
        </w:rPr>
      </w:pPr>
      <w:r w:rsidRPr="003E0F5A">
        <w:rPr>
          <w:sz w:val="20"/>
          <w:szCs w:val="20"/>
        </w:rPr>
        <w:t>Het t</w:t>
      </w:r>
      <w:r w:rsidR="00CA0BB0" w:rsidRPr="003E0F5A">
        <w:rPr>
          <w:sz w:val="20"/>
          <w:szCs w:val="20"/>
        </w:rPr>
        <w:t>raject van het brugproject duurde maximaal 800 uur en ko</w:t>
      </w:r>
      <w:r w:rsidRPr="003E0F5A">
        <w:rPr>
          <w:sz w:val="20"/>
          <w:szCs w:val="20"/>
        </w:rPr>
        <w:t>n schooljaaroverschrijdend werken.</w:t>
      </w:r>
    </w:p>
    <w:p w:rsidR="00AD542D" w:rsidRPr="003E0F5A" w:rsidRDefault="00AD542D" w:rsidP="00AD542D">
      <w:pPr>
        <w:rPr>
          <w:sz w:val="20"/>
          <w:szCs w:val="20"/>
        </w:rPr>
      </w:pPr>
      <w:r w:rsidRPr="003E0F5A">
        <w:rPr>
          <w:sz w:val="20"/>
          <w:szCs w:val="20"/>
        </w:rPr>
        <w:t>Aan het begin van het brugproject maakt</w:t>
      </w:r>
      <w:r w:rsidR="00CA0BB0" w:rsidRPr="003E0F5A">
        <w:rPr>
          <w:sz w:val="20"/>
          <w:szCs w:val="20"/>
        </w:rPr>
        <w:t>e</w:t>
      </w:r>
      <w:r w:rsidRPr="003E0F5A">
        <w:rPr>
          <w:sz w:val="20"/>
          <w:szCs w:val="20"/>
        </w:rPr>
        <w:t xml:space="preserve"> de organisator met het CDO, de jongere en de werkplaats een individueel trajectbegeleidingsplan op dat nauwkeurig opgevolgd wordt door de verschillende partijen.</w:t>
      </w:r>
    </w:p>
    <w:p w:rsidR="00AD542D" w:rsidRPr="003E0F5A" w:rsidRDefault="00AD542D" w:rsidP="00AD542D">
      <w:pPr>
        <w:rPr>
          <w:sz w:val="20"/>
          <w:szCs w:val="20"/>
        </w:rPr>
      </w:pPr>
      <w:r w:rsidRPr="003E0F5A">
        <w:rPr>
          <w:sz w:val="20"/>
          <w:szCs w:val="20"/>
        </w:rPr>
        <w:t>Wanneer d</w:t>
      </w:r>
      <w:r w:rsidR="00CA0BB0" w:rsidRPr="003E0F5A">
        <w:rPr>
          <w:sz w:val="20"/>
          <w:szCs w:val="20"/>
        </w:rPr>
        <w:t>e vooropgestelde doelstellingen</w:t>
      </w:r>
      <w:r w:rsidRPr="003E0F5A">
        <w:rPr>
          <w:sz w:val="20"/>
          <w:szCs w:val="20"/>
        </w:rPr>
        <w:t xml:space="preserve"> gerealiseerd</w:t>
      </w:r>
      <w:r w:rsidR="00CA0BB0" w:rsidRPr="003E0F5A">
        <w:rPr>
          <w:sz w:val="20"/>
          <w:szCs w:val="20"/>
        </w:rPr>
        <w:t xml:space="preserve"> waren</w:t>
      </w:r>
      <w:r w:rsidRPr="003E0F5A">
        <w:rPr>
          <w:sz w:val="20"/>
          <w:szCs w:val="20"/>
        </w:rPr>
        <w:t>, k</w:t>
      </w:r>
      <w:r w:rsidR="00CA0BB0" w:rsidRPr="003E0F5A">
        <w:rPr>
          <w:sz w:val="20"/>
          <w:szCs w:val="20"/>
        </w:rPr>
        <w:t>o</w:t>
      </w:r>
      <w:r w:rsidRPr="003E0F5A">
        <w:rPr>
          <w:sz w:val="20"/>
          <w:szCs w:val="20"/>
        </w:rPr>
        <w:t>n de jongere doorstromen naar een reguliere alternerende tewerkstelling.</w:t>
      </w:r>
    </w:p>
    <w:p w:rsidR="00AD542D" w:rsidRPr="003E0F5A" w:rsidRDefault="00AD542D" w:rsidP="00AD542D">
      <w:pPr>
        <w:rPr>
          <w:sz w:val="20"/>
          <w:szCs w:val="20"/>
        </w:rPr>
      </w:pPr>
      <w:r w:rsidRPr="003E0F5A">
        <w:rPr>
          <w:sz w:val="20"/>
          <w:szCs w:val="20"/>
        </w:rPr>
        <w:t>Binnen de brugprojecten streven we naar een sluitend alternerend concept, m.a.w. waarbij de opleiding binnen het CDO afgestemd is op en aanvullend is bij de tewerkstelling.</w:t>
      </w:r>
    </w:p>
    <w:p w:rsidR="00AD542D" w:rsidRPr="003E0F5A" w:rsidRDefault="00CA0BB0" w:rsidP="00AD542D">
      <w:pPr>
        <w:rPr>
          <w:sz w:val="20"/>
          <w:szCs w:val="20"/>
        </w:rPr>
      </w:pPr>
      <w:r w:rsidRPr="003E0F5A">
        <w:rPr>
          <w:sz w:val="20"/>
          <w:szCs w:val="20"/>
        </w:rPr>
        <w:t>De doelgroep bestond uit j</w:t>
      </w:r>
      <w:r w:rsidR="00AD542D" w:rsidRPr="003E0F5A">
        <w:rPr>
          <w:sz w:val="20"/>
          <w:szCs w:val="20"/>
        </w:rPr>
        <w:t>ongeren die tot de verplichte risicogroepen behoren, bepaald in het Koninklijk Besluit van 19 februari 2013 tot uitvoering van artikel 189, vierde lid, van de wet van 27 december 2007 houdende diverse bepalingen (I):</w:t>
      </w:r>
    </w:p>
    <w:p w:rsidR="00AD542D" w:rsidRPr="003E0F5A" w:rsidRDefault="00AD542D" w:rsidP="00CA0BB0">
      <w:pPr>
        <w:rPr>
          <w:sz w:val="20"/>
          <w:szCs w:val="20"/>
        </w:rPr>
      </w:pPr>
      <w:r w:rsidRPr="003E0F5A">
        <w:rPr>
          <w:sz w:val="20"/>
          <w:szCs w:val="20"/>
        </w:rPr>
        <w:t xml:space="preserve">Jongeren die nog geen 26 jaar oud zijn en opgeleid worden; in </w:t>
      </w:r>
      <w:proofErr w:type="spellStart"/>
      <w:r w:rsidRPr="003E0F5A">
        <w:rPr>
          <w:sz w:val="20"/>
          <w:szCs w:val="20"/>
        </w:rPr>
        <w:t>casu</w:t>
      </w:r>
      <w:proofErr w:type="spellEnd"/>
      <w:r w:rsidRPr="003E0F5A">
        <w:rPr>
          <w:sz w:val="20"/>
          <w:szCs w:val="20"/>
        </w:rPr>
        <w:t xml:space="preserve"> in een stelsel van alternerend leren (deeltijds beroepssecundair onderwijs bij de Vlaamse </w:t>
      </w:r>
      <w:proofErr w:type="spellStart"/>
      <w:r w:rsidRPr="003E0F5A">
        <w:rPr>
          <w:sz w:val="20"/>
          <w:szCs w:val="20"/>
        </w:rPr>
        <w:t>CDO’s</w:t>
      </w:r>
      <w:proofErr w:type="spellEnd"/>
      <w:r w:rsidRPr="003E0F5A">
        <w:rPr>
          <w:sz w:val="20"/>
          <w:szCs w:val="20"/>
        </w:rPr>
        <w:t>)</w:t>
      </w:r>
    </w:p>
    <w:p w:rsidR="00AD542D" w:rsidRPr="003E0F5A" w:rsidRDefault="00AD542D" w:rsidP="00AD542D">
      <w:pPr>
        <w:pStyle w:val="Lijstalinea"/>
        <w:rPr>
          <w:sz w:val="20"/>
          <w:szCs w:val="20"/>
        </w:rPr>
      </w:pPr>
    </w:p>
    <w:p w:rsidR="00AD542D" w:rsidRPr="003E0F5A" w:rsidRDefault="00AD542D" w:rsidP="00AD542D">
      <w:pPr>
        <w:pStyle w:val="Lijstalinea"/>
        <w:numPr>
          <w:ilvl w:val="0"/>
          <w:numId w:val="1"/>
        </w:numPr>
        <w:rPr>
          <w:sz w:val="20"/>
          <w:szCs w:val="20"/>
        </w:rPr>
      </w:pPr>
      <w:r w:rsidRPr="003E0F5A">
        <w:rPr>
          <w:sz w:val="20"/>
          <w:szCs w:val="20"/>
        </w:rPr>
        <w:t xml:space="preserve">De </w:t>
      </w:r>
      <w:r w:rsidR="003E0F5A">
        <w:rPr>
          <w:sz w:val="20"/>
          <w:szCs w:val="20"/>
        </w:rPr>
        <w:t>ui</w:t>
      </w:r>
      <w:r w:rsidRPr="003E0F5A">
        <w:rPr>
          <w:sz w:val="20"/>
          <w:szCs w:val="20"/>
        </w:rPr>
        <w:t>gevoerde activiteit</w:t>
      </w:r>
      <w:r w:rsidR="003E0F5A">
        <w:rPr>
          <w:sz w:val="20"/>
          <w:szCs w:val="20"/>
        </w:rPr>
        <w:t>en</w:t>
      </w:r>
    </w:p>
    <w:p w:rsidR="00CA0BB0" w:rsidRPr="003E0F5A" w:rsidRDefault="00CA0BB0" w:rsidP="00CA0BB0">
      <w:pPr>
        <w:pStyle w:val="Lijstalinea"/>
        <w:rPr>
          <w:b/>
          <w:color w:val="DC066E"/>
          <w:sz w:val="20"/>
          <w:szCs w:val="20"/>
        </w:rPr>
      </w:pPr>
    </w:p>
    <w:p w:rsidR="00CA0BB0" w:rsidRPr="003E0F5A" w:rsidRDefault="00CA0BB0" w:rsidP="00CA0BB0">
      <w:pPr>
        <w:pStyle w:val="Lijstalinea"/>
        <w:numPr>
          <w:ilvl w:val="0"/>
          <w:numId w:val="2"/>
        </w:numPr>
        <w:rPr>
          <w:sz w:val="20"/>
          <w:szCs w:val="20"/>
        </w:rPr>
      </w:pPr>
      <w:r w:rsidRPr="003E0F5A">
        <w:rPr>
          <w:sz w:val="20"/>
          <w:szCs w:val="20"/>
        </w:rPr>
        <w:t>De samenwerking SST – VIVO richtte voor het schooljaar 2016 – 2017 een oproep naar sociale werkplaatsen die bepaalde functies kunnen en willen laten invullen door jongeren uit de risicogroep zoals hoger bepaald. De basis voor de oproep was het stappenplan dat bij de laatste uitbreiding van de brugprojecten (voorjaar 2013) werd doorlopen.</w:t>
      </w:r>
    </w:p>
    <w:p w:rsidR="00CA0BB0" w:rsidRPr="003E0F5A" w:rsidRDefault="00CA0BB0" w:rsidP="00CA0BB0">
      <w:pPr>
        <w:pStyle w:val="Lijstalinea"/>
        <w:numPr>
          <w:ilvl w:val="0"/>
          <w:numId w:val="2"/>
        </w:numPr>
        <w:rPr>
          <w:sz w:val="20"/>
          <w:szCs w:val="20"/>
        </w:rPr>
      </w:pPr>
      <w:r w:rsidRPr="003E0F5A">
        <w:rPr>
          <w:sz w:val="20"/>
          <w:szCs w:val="20"/>
        </w:rPr>
        <w:t xml:space="preserve">Tegelijk werden partnerschappen op- en verdergezet met verschillende </w:t>
      </w:r>
      <w:proofErr w:type="spellStart"/>
      <w:r w:rsidRPr="003E0F5A">
        <w:rPr>
          <w:sz w:val="20"/>
          <w:szCs w:val="20"/>
        </w:rPr>
        <w:t>CDO’s</w:t>
      </w:r>
      <w:proofErr w:type="spellEnd"/>
      <w:r w:rsidRPr="003E0F5A">
        <w:rPr>
          <w:sz w:val="20"/>
          <w:szCs w:val="20"/>
        </w:rPr>
        <w:t xml:space="preserve"> zodat we tot een optimale (ook geografische) verdeling kwamen van jongeren die </w:t>
      </w:r>
      <w:proofErr w:type="spellStart"/>
      <w:r w:rsidRPr="003E0F5A">
        <w:rPr>
          <w:sz w:val="20"/>
          <w:szCs w:val="20"/>
        </w:rPr>
        <w:t>toegeleid</w:t>
      </w:r>
      <w:proofErr w:type="spellEnd"/>
      <w:r w:rsidRPr="003E0F5A">
        <w:rPr>
          <w:sz w:val="20"/>
          <w:szCs w:val="20"/>
        </w:rPr>
        <w:t xml:space="preserve"> werden naar maatwerkbedrijven/sociale werkplaatsen enerzijds en werkplaatsen die effectief de jongeren op de best mogelijke manier kunnen omkaderen anderzijds.</w:t>
      </w:r>
    </w:p>
    <w:p w:rsidR="00CA0BB0" w:rsidRPr="003E0F5A" w:rsidRDefault="00CA0BB0" w:rsidP="00CA0BB0">
      <w:pPr>
        <w:rPr>
          <w:sz w:val="20"/>
          <w:szCs w:val="20"/>
        </w:rPr>
      </w:pPr>
      <w:r w:rsidRPr="003E0F5A">
        <w:rPr>
          <w:sz w:val="20"/>
          <w:szCs w:val="20"/>
        </w:rPr>
        <w:t xml:space="preserve">De trajecten zijn gestart traject op 1 september 2016  en liepen tot 31 augustus 2017. Er was een </w:t>
      </w:r>
      <w:r w:rsidR="00F87FDA" w:rsidRPr="003E0F5A">
        <w:rPr>
          <w:sz w:val="20"/>
          <w:szCs w:val="20"/>
        </w:rPr>
        <w:t xml:space="preserve">volledige </w:t>
      </w:r>
      <w:r w:rsidRPr="003E0F5A">
        <w:rPr>
          <w:sz w:val="20"/>
          <w:szCs w:val="20"/>
        </w:rPr>
        <w:t>continuering in schooljaar 2017-2018.</w:t>
      </w:r>
    </w:p>
    <w:p w:rsidR="00CA0BB0" w:rsidRPr="003E0F5A" w:rsidRDefault="00CA0BB0" w:rsidP="00CA0BB0">
      <w:pPr>
        <w:rPr>
          <w:sz w:val="20"/>
          <w:szCs w:val="20"/>
        </w:rPr>
      </w:pPr>
      <w:r w:rsidRPr="003E0F5A">
        <w:rPr>
          <w:sz w:val="20"/>
          <w:szCs w:val="20"/>
        </w:rPr>
        <w:lastRenderedPageBreak/>
        <w:t>Met dit project werden</w:t>
      </w:r>
      <w:r w:rsidR="00210A24" w:rsidRPr="003E0F5A">
        <w:rPr>
          <w:sz w:val="20"/>
          <w:szCs w:val="20"/>
        </w:rPr>
        <w:t xml:space="preserve"> enkel de</w:t>
      </w:r>
      <w:r w:rsidRPr="003E0F5A">
        <w:rPr>
          <w:sz w:val="20"/>
          <w:szCs w:val="20"/>
        </w:rPr>
        <w:t xml:space="preserve"> begeleiders gefinancierd. De begeleidingsnorm </w:t>
      </w:r>
      <w:r w:rsidR="00210A24" w:rsidRPr="003E0F5A">
        <w:rPr>
          <w:sz w:val="20"/>
          <w:szCs w:val="20"/>
        </w:rPr>
        <w:t>van</w:t>
      </w:r>
      <w:r w:rsidRPr="003E0F5A">
        <w:rPr>
          <w:sz w:val="20"/>
          <w:szCs w:val="20"/>
        </w:rPr>
        <w:t xml:space="preserve"> de</w:t>
      </w:r>
      <w:r w:rsidR="00210A24" w:rsidRPr="003E0F5A">
        <w:rPr>
          <w:sz w:val="20"/>
          <w:szCs w:val="20"/>
        </w:rPr>
        <w:t xml:space="preserve"> sociale werkplaatsen</w:t>
      </w:r>
      <w:r w:rsidRPr="003E0F5A">
        <w:rPr>
          <w:sz w:val="20"/>
          <w:szCs w:val="20"/>
        </w:rPr>
        <w:t xml:space="preserve"> w</w:t>
      </w:r>
      <w:r w:rsidR="00210A24" w:rsidRPr="003E0F5A">
        <w:rPr>
          <w:sz w:val="20"/>
          <w:szCs w:val="20"/>
        </w:rPr>
        <w:t xml:space="preserve">erd ook </w:t>
      </w:r>
      <w:r w:rsidRPr="003E0F5A">
        <w:rPr>
          <w:sz w:val="20"/>
          <w:szCs w:val="20"/>
        </w:rPr>
        <w:t xml:space="preserve">gehanteerd voor de begeleiding van de jongeren: 1 </w:t>
      </w:r>
      <w:proofErr w:type="spellStart"/>
      <w:r w:rsidRPr="003E0F5A">
        <w:rPr>
          <w:sz w:val="20"/>
          <w:szCs w:val="20"/>
        </w:rPr>
        <w:t>vte</w:t>
      </w:r>
      <w:proofErr w:type="spellEnd"/>
      <w:r w:rsidRPr="003E0F5A">
        <w:rPr>
          <w:sz w:val="20"/>
          <w:szCs w:val="20"/>
        </w:rPr>
        <w:t xml:space="preserve"> begeleider omkadert 5 </w:t>
      </w:r>
      <w:proofErr w:type="spellStart"/>
      <w:r w:rsidRPr="003E0F5A">
        <w:rPr>
          <w:sz w:val="20"/>
          <w:szCs w:val="20"/>
        </w:rPr>
        <w:t>vte</w:t>
      </w:r>
      <w:proofErr w:type="spellEnd"/>
      <w:r w:rsidRPr="003E0F5A">
        <w:rPr>
          <w:sz w:val="20"/>
          <w:szCs w:val="20"/>
        </w:rPr>
        <w:t xml:space="preserve"> jongeren. We h</w:t>
      </w:r>
      <w:r w:rsidR="00210A24" w:rsidRPr="003E0F5A">
        <w:rPr>
          <w:sz w:val="20"/>
          <w:szCs w:val="20"/>
        </w:rPr>
        <w:t>ield</w:t>
      </w:r>
      <w:r w:rsidRPr="003E0F5A">
        <w:rPr>
          <w:sz w:val="20"/>
          <w:szCs w:val="20"/>
        </w:rPr>
        <w:t>en rekening met het deeltijds/alternerend karakter van de begeleiding</w:t>
      </w:r>
      <w:r w:rsidR="00210A24" w:rsidRPr="003E0F5A">
        <w:rPr>
          <w:sz w:val="20"/>
          <w:szCs w:val="20"/>
        </w:rPr>
        <w:t xml:space="preserve"> en</w:t>
      </w:r>
      <w:r w:rsidRPr="003E0F5A">
        <w:rPr>
          <w:sz w:val="20"/>
          <w:szCs w:val="20"/>
        </w:rPr>
        <w:t xml:space="preserve"> werk</w:t>
      </w:r>
      <w:r w:rsidR="00210A24" w:rsidRPr="003E0F5A">
        <w:rPr>
          <w:sz w:val="20"/>
          <w:szCs w:val="20"/>
        </w:rPr>
        <w:t>t</w:t>
      </w:r>
      <w:r w:rsidRPr="003E0F5A">
        <w:rPr>
          <w:sz w:val="20"/>
          <w:szCs w:val="20"/>
        </w:rPr>
        <w:t xml:space="preserve">en </w:t>
      </w:r>
      <w:r w:rsidR="00210A24" w:rsidRPr="003E0F5A">
        <w:rPr>
          <w:sz w:val="20"/>
          <w:szCs w:val="20"/>
        </w:rPr>
        <w:t xml:space="preserve">daarom </w:t>
      </w:r>
      <w:r w:rsidRPr="003E0F5A">
        <w:rPr>
          <w:sz w:val="20"/>
          <w:szCs w:val="20"/>
        </w:rPr>
        <w:t>met halftijdse begeleiders.</w:t>
      </w:r>
    </w:p>
    <w:p w:rsidR="001B51B9" w:rsidRPr="003E0F5A" w:rsidRDefault="00CA0BB0">
      <w:pPr>
        <w:rPr>
          <w:sz w:val="20"/>
          <w:szCs w:val="20"/>
        </w:rPr>
      </w:pPr>
      <w:r w:rsidRPr="003E0F5A">
        <w:rPr>
          <w:sz w:val="20"/>
          <w:szCs w:val="20"/>
        </w:rPr>
        <w:t>Het project financierde 11 halfti</w:t>
      </w:r>
      <w:r w:rsidR="006970C5" w:rsidRPr="003E0F5A">
        <w:rPr>
          <w:sz w:val="20"/>
          <w:szCs w:val="20"/>
        </w:rPr>
        <w:t xml:space="preserve">jdse begeleiders. Daarnaast </w:t>
      </w:r>
      <w:proofErr w:type="spellStart"/>
      <w:r w:rsidR="006970C5" w:rsidRPr="003E0F5A">
        <w:rPr>
          <w:sz w:val="20"/>
          <w:szCs w:val="20"/>
        </w:rPr>
        <w:t>sub</w:t>
      </w:r>
      <w:r w:rsidRPr="003E0F5A">
        <w:rPr>
          <w:sz w:val="20"/>
          <w:szCs w:val="20"/>
        </w:rPr>
        <w:t>sideerde</w:t>
      </w:r>
      <w:r w:rsidR="001B51B9" w:rsidRPr="003E0F5A">
        <w:rPr>
          <w:sz w:val="20"/>
          <w:szCs w:val="20"/>
        </w:rPr>
        <w:t>n</w:t>
      </w:r>
      <w:proofErr w:type="spellEnd"/>
      <w:r w:rsidRPr="003E0F5A">
        <w:rPr>
          <w:sz w:val="20"/>
          <w:szCs w:val="20"/>
        </w:rPr>
        <w:t xml:space="preserve"> het fonds voor Bestaanszekerheid van de Sociale Werkplaatsen </w:t>
      </w:r>
      <w:r w:rsidR="001B51B9" w:rsidRPr="003E0F5A">
        <w:rPr>
          <w:sz w:val="20"/>
          <w:szCs w:val="20"/>
        </w:rPr>
        <w:t xml:space="preserve">en de jongerenbonus samen nog eens </w:t>
      </w:r>
      <w:r w:rsidR="00EF573F" w:rsidRPr="003E0F5A">
        <w:rPr>
          <w:sz w:val="20"/>
          <w:szCs w:val="20"/>
        </w:rPr>
        <w:t>26</w:t>
      </w:r>
      <w:r w:rsidRPr="003E0F5A">
        <w:rPr>
          <w:sz w:val="20"/>
          <w:szCs w:val="20"/>
        </w:rPr>
        <w:t xml:space="preserve"> halftijdse begeleiders. </w:t>
      </w:r>
    </w:p>
    <w:p w:rsidR="00AD542D" w:rsidRPr="003E0F5A" w:rsidRDefault="00AD542D" w:rsidP="00AD542D">
      <w:pPr>
        <w:pStyle w:val="Lijstalinea"/>
        <w:numPr>
          <w:ilvl w:val="0"/>
          <w:numId w:val="1"/>
        </w:numPr>
        <w:rPr>
          <w:sz w:val="20"/>
          <w:szCs w:val="20"/>
        </w:rPr>
      </w:pPr>
      <w:r w:rsidRPr="003E0F5A">
        <w:rPr>
          <w:sz w:val="20"/>
          <w:szCs w:val="20"/>
        </w:rPr>
        <w:t>De realisatiegraad</w:t>
      </w:r>
    </w:p>
    <w:p w:rsidR="00AD542D" w:rsidRPr="003E0F5A" w:rsidRDefault="00AD542D" w:rsidP="00AD542D">
      <w:pPr>
        <w:pStyle w:val="Lijstalinea"/>
        <w:numPr>
          <w:ilvl w:val="1"/>
          <w:numId w:val="1"/>
        </w:numPr>
        <w:rPr>
          <w:sz w:val="20"/>
          <w:szCs w:val="20"/>
        </w:rPr>
      </w:pPr>
      <w:r w:rsidRPr="003E0F5A">
        <w:rPr>
          <w:sz w:val="20"/>
          <w:szCs w:val="20"/>
        </w:rPr>
        <w:t>Het aantal bereikte jongeren</w:t>
      </w:r>
      <w:r w:rsidR="004F21D8" w:rsidRPr="003E0F5A">
        <w:rPr>
          <w:sz w:val="20"/>
          <w:szCs w:val="20"/>
        </w:rPr>
        <w:t xml:space="preserve"> in schooljaar 2016-2017</w:t>
      </w:r>
      <w:r w:rsidR="009F7D5C" w:rsidRPr="003E0F5A">
        <w:rPr>
          <w:sz w:val="20"/>
          <w:szCs w:val="20"/>
        </w:rPr>
        <w:t xml:space="preserve"> over alle </w:t>
      </w:r>
      <w:r w:rsidR="001B51B9" w:rsidRPr="003E0F5A">
        <w:rPr>
          <w:sz w:val="20"/>
          <w:szCs w:val="20"/>
        </w:rPr>
        <w:t>begeleidingen</w:t>
      </w:r>
      <w:r w:rsidR="009F7D5C" w:rsidRPr="003E0F5A">
        <w:rPr>
          <w:sz w:val="20"/>
          <w:szCs w:val="20"/>
        </w:rPr>
        <w:t xml:space="preserve"> </w:t>
      </w:r>
      <w:r w:rsidR="00EF573F" w:rsidRPr="003E0F5A">
        <w:rPr>
          <w:sz w:val="20"/>
          <w:szCs w:val="20"/>
        </w:rPr>
        <w:t>(3</w:t>
      </w:r>
      <w:r w:rsidR="001B51B9" w:rsidRPr="003E0F5A">
        <w:rPr>
          <w:sz w:val="20"/>
          <w:szCs w:val="20"/>
        </w:rPr>
        <w:t>7</w:t>
      </w:r>
      <w:r w:rsidR="00EF573F" w:rsidRPr="003E0F5A">
        <w:rPr>
          <w:sz w:val="20"/>
          <w:szCs w:val="20"/>
        </w:rPr>
        <w:t xml:space="preserve"> halftijdse begeleiders) </w:t>
      </w:r>
      <w:r w:rsidR="009F7D5C" w:rsidRPr="003E0F5A">
        <w:rPr>
          <w:sz w:val="20"/>
          <w:szCs w:val="20"/>
        </w:rPr>
        <w:t>was de volgende</w:t>
      </w:r>
      <w:r w:rsidR="004F21D8" w:rsidRPr="003E0F5A">
        <w:rPr>
          <w:sz w:val="20"/>
          <w:szCs w:val="20"/>
        </w:rPr>
        <w:t>:</w:t>
      </w:r>
    </w:p>
    <w:tbl>
      <w:tblPr>
        <w:tblW w:w="0" w:type="auto"/>
        <w:tblInd w:w="61" w:type="dxa"/>
        <w:tblCellMar>
          <w:left w:w="70" w:type="dxa"/>
          <w:right w:w="70" w:type="dxa"/>
        </w:tblCellMar>
        <w:tblLook w:val="04A0" w:firstRow="1" w:lastRow="0" w:firstColumn="1" w:lastColumn="0" w:noHBand="0" w:noVBand="1"/>
      </w:tblPr>
      <w:tblGrid>
        <w:gridCol w:w="2932"/>
        <w:gridCol w:w="437"/>
        <w:gridCol w:w="431"/>
        <w:gridCol w:w="465"/>
        <w:gridCol w:w="448"/>
        <w:gridCol w:w="405"/>
        <w:gridCol w:w="437"/>
        <w:gridCol w:w="448"/>
        <w:gridCol w:w="431"/>
        <w:gridCol w:w="457"/>
        <w:gridCol w:w="414"/>
        <w:gridCol w:w="648"/>
      </w:tblGrid>
      <w:tr w:rsidR="003E0F5A" w:rsidRPr="00682093" w:rsidTr="00682093">
        <w:trPr>
          <w:trHeight w:val="264"/>
        </w:trPr>
        <w:tc>
          <w:tcPr>
            <w:tcW w:w="0" w:type="auto"/>
            <w:tcBorders>
              <w:top w:val="nil"/>
              <w:left w:val="nil"/>
              <w:bottom w:val="nil"/>
              <w:right w:val="nil"/>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Sep</w:t>
            </w:r>
          </w:p>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16</w:t>
            </w:r>
          </w:p>
        </w:tc>
        <w:tc>
          <w:tcPr>
            <w:tcW w:w="0" w:type="auto"/>
            <w:tcBorders>
              <w:top w:val="single" w:sz="4" w:space="0" w:color="auto"/>
              <w:left w:val="nil"/>
              <w:bottom w:val="nil"/>
              <w:right w:val="single" w:sz="4" w:space="0" w:color="auto"/>
            </w:tcBorders>
            <w:shd w:val="clear" w:color="auto" w:fill="auto"/>
            <w:noWrap/>
            <w:vAlign w:val="bottom"/>
            <w:hideMark/>
          </w:tcPr>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Okt</w:t>
            </w:r>
          </w:p>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16</w:t>
            </w:r>
          </w:p>
        </w:tc>
        <w:tc>
          <w:tcPr>
            <w:tcW w:w="0" w:type="auto"/>
            <w:tcBorders>
              <w:top w:val="single" w:sz="4" w:space="0" w:color="auto"/>
              <w:left w:val="nil"/>
              <w:bottom w:val="nil"/>
              <w:right w:val="single" w:sz="4" w:space="0" w:color="auto"/>
            </w:tcBorders>
            <w:shd w:val="clear" w:color="auto" w:fill="auto"/>
            <w:noWrap/>
            <w:vAlign w:val="bottom"/>
            <w:hideMark/>
          </w:tcPr>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Nov</w:t>
            </w:r>
          </w:p>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16</w:t>
            </w:r>
          </w:p>
        </w:tc>
        <w:tc>
          <w:tcPr>
            <w:tcW w:w="0" w:type="auto"/>
            <w:tcBorders>
              <w:top w:val="single" w:sz="4" w:space="0" w:color="auto"/>
              <w:left w:val="nil"/>
              <w:bottom w:val="nil"/>
              <w:right w:val="single" w:sz="4" w:space="0" w:color="auto"/>
            </w:tcBorders>
            <w:shd w:val="clear" w:color="auto" w:fill="auto"/>
            <w:noWrap/>
            <w:vAlign w:val="bottom"/>
            <w:hideMark/>
          </w:tcPr>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Dec</w:t>
            </w:r>
          </w:p>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16</w:t>
            </w:r>
          </w:p>
        </w:tc>
        <w:tc>
          <w:tcPr>
            <w:tcW w:w="0" w:type="auto"/>
            <w:tcBorders>
              <w:top w:val="single" w:sz="4" w:space="0" w:color="auto"/>
              <w:left w:val="nil"/>
              <w:bottom w:val="nil"/>
              <w:right w:val="single" w:sz="4" w:space="0" w:color="auto"/>
            </w:tcBorders>
            <w:shd w:val="clear" w:color="auto" w:fill="auto"/>
            <w:noWrap/>
            <w:vAlign w:val="bottom"/>
            <w:hideMark/>
          </w:tcPr>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Jan</w:t>
            </w:r>
          </w:p>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17</w:t>
            </w:r>
          </w:p>
        </w:tc>
        <w:tc>
          <w:tcPr>
            <w:tcW w:w="0" w:type="auto"/>
            <w:tcBorders>
              <w:top w:val="single" w:sz="4" w:space="0" w:color="auto"/>
              <w:left w:val="nil"/>
              <w:bottom w:val="nil"/>
              <w:right w:val="single" w:sz="4" w:space="0" w:color="auto"/>
            </w:tcBorders>
            <w:shd w:val="clear" w:color="auto" w:fill="auto"/>
            <w:noWrap/>
            <w:vAlign w:val="bottom"/>
            <w:hideMark/>
          </w:tcPr>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Feb</w:t>
            </w:r>
          </w:p>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17</w:t>
            </w:r>
          </w:p>
        </w:tc>
        <w:tc>
          <w:tcPr>
            <w:tcW w:w="0" w:type="auto"/>
            <w:tcBorders>
              <w:top w:val="single" w:sz="4" w:space="0" w:color="auto"/>
              <w:left w:val="nil"/>
              <w:bottom w:val="nil"/>
              <w:right w:val="single" w:sz="4" w:space="0" w:color="auto"/>
            </w:tcBorders>
            <w:shd w:val="clear" w:color="auto" w:fill="auto"/>
            <w:noWrap/>
            <w:vAlign w:val="bottom"/>
            <w:hideMark/>
          </w:tcPr>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Mrt</w:t>
            </w:r>
          </w:p>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17</w:t>
            </w:r>
          </w:p>
        </w:tc>
        <w:tc>
          <w:tcPr>
            <w:tcW w:w="0" w:type="auto"/>
            <w:tcBorders>
              <w:top w:val="single" w:sz="4" w:space="0" w:color="auto"/>
              <w:left w:val="nil"/>
              <w:bottom w:val="nil"/>
              <w:right w:val="single" w:sz="4" w:space="0" w:color="auto"/>
            </w:tcBorders>
            <w:shd w:val="clear" w:color="auto" w:fill="auto"/>
            <w:noWrap/>
            <w:vAlign w:val="bottom"/>
            <w:hideMark/>
          </w:tcPr>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Apr</w:t>
            </w:r>
          </w:p>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17</w:t>
            </w:r>
          </w:p>
        </w:tc>
        <w:tc>
          <w:tcPr>
            <w:tcW w:w="0" w:type="auto"/>
            <w:tcBorders>
              <w:top w:val="single" w:sz="4" w:space="0" w:color="auto"/>
              <w:left w:val="nil"/>
              <w:bottom w:val="nil"/>
              <w:right w:val="single" w:sz="4" w:space="0" w:color="auto"/>
            </w:tcBorders>
            <w:shd w:val="clear" w:color="auto" w:fill="auto"/>
            <w:noWrap/>
            <w:vAlign w:val="bottom"/>
            <w:hideMark/>
          </w:tcPr>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Mei</w:t>
            </w:r>
          </w:p>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17</w:t>
            </w:r>
          </w:p>
        </w:tc>
        <w:tc>
          <w:tcPr>
            <w:tcW w:w="0" w:type="auto"/>
            <w:tcBorders>
              <w:top w:val="single" w:sz="4" w:space="0" w:color="auto"/>
              <w:left w:val="nil"/>
              <w:bottom w:val="nil"/>
              <w:right w:val="single" w:sz="4" w:space="0" w:color="auto"/>
            </w:tcBorders>
            <w:shd w:val="clear" w:color="auto" w:fill="auto"/>
            <w:noWrap/>
            <w:vAlign w:val="bottom"/>
            <w:hideMark/>
          </w:tcPr>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Jun</w:t>
            </w:r>
          </w:p>
          <w:p w:rsidR="00682093" w:rsidRPr="003E0F5A" w:rsidRDefault="00682093" w:rsidP="0085477F">
            <w:pPr>
              <w:spacing w:after="0" w:line="240" w:lineRule="auto"/>
              <w:jc w:val="right"/>
              <w:rPr>
                <w:rFonts w:eastAsia="Times New Roman" w:cs="Arial"/>
                <w:sz w:val="20"/>
                <w:szCs w:val="20"/>
              </w:rPr>
            </w:pPr>
            <w:r w:rsidRPr="003E0F5A">
              <w:rPr>
                <w:rFonts w:eastAsia="Times New Roman" w:cs="Arial"/>
                <w:sz w:val="20"/>
                <w:szCs w:val="20"/>
              </w:rPr>
              <w:t>17</w:t>
            </w:r>
          </w:p>
        </w:tc>
        <w:tc>
          <w:tcPr>
            <w:tcW w:w="0" w:type="auto"/>
            <w:tcBorders>
              <w:top w:val="single" w:sz="4" w:space="0" w:color="auto"/>
              <w:left w:val="nil"/>
              <w:bottom w:val="nil"/>
              <w:right w:val="single" w:sz="4" w:space="0" w:color="auto"/>
            </w:tcBorders>
            <w:shd w:val="clear" w:color="auto" w:fill="auto"/>
            <w:noWrap/>
            <w:vAlign w:val="bottom"/>
            <w:hideMark/>
          </w:tcPr>
          <w:p w:rsidR="00682093" w:rsidRPr="003E0F5A" w:rsidRDefault="00682093" w:rsidP="0085477F">
            <w:pPr>
              <w:spacing w:after="0" w:line="240" w:lineRule="auto"/>
              <w:jc w:val="center"/>
              <w:rPr>
                <w:rFonts w:eastAsia="Times New Roman" w:cs="Arial"/>
                <w:sz w:val="20"/>
                <w:szCs w:val="20"/>
              </w:rPr>
            </w:pPr>
            <w:r w:rsidRPr="003E0F5A">
              <w:rPr>
                <w:rFonts w:eastAsia="Times New Roman" w:cs="Arial"/>
                <w:sz w:val="20"/>
                <w:szCs w:val="20"/>
              </w:rPr>
              <w:t>Totaal</w:t>
            </w:r>
          </w:p>
        </w:tc>
      </w:tr>
      <w:tr w:rsidR="00682093" w:rsidRPr="00682093" w:rsidTr="0068209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r w:rsidRPr="00682093">
              <w:rPr>
                <w:rFonts w:eastAsia="Times New Roman" w:cs="Arial"/>
                <w:sz w:val="20"/>
                <w:szCs w:val="20"/>
              </w:rPr>
              <w:t>Instroom van jongeren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43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38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305</w:t>
            </w:r>
          </w:p>
        </w:tc>
      </w:tr>
      <w:tr w:rsidR="00682093" w:rsidRPr="00682093" w:rsidTr="0068209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r w:rsidRPr="00682093">
              <w:rPr>
                <w:rFonts w:eastAsia="Times New Roman" w:cs="Arial"/>
                <w:sz w:val="20"/>
                <w:szCs w:val="20"/>
              </w:rPr>
              <w:t>Uitstroom: persoonlijke redenen*</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77</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232</w:t>
            </w:r>
          </w:p>
        </w:tc>
      </w:tr>
      <w:tr w:rsidR="00682093" w:rsidRPr="00682093" w:rsidTr="0068209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r w:rsidRPr="00682093">
              <w:rPr>
                <w:rFonts w:eastAsia="Times New Roman" w:cs="Arial"/>
                <w:sz w:val="20"/>
                <w:szCs w:val="20"/>
              </w:rPr>
              <w:t>Uitstroom: einde brugproject</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9</w:t>
            </w:r>
          </w:p>
        </w:tc>
      </w:tr>
      <w:tr w:rsidR="00682093" w:rsidRPr="00682093" w:rsidTr="0068209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r w:rsidRPr="00682093">
              <w:rPr>
                <w:rFonts w:eastAsia="Times New Roman" w:cs="Arial"/>
                <w:sz w:val="20"/>
                <w:szCs w:val="20"/>
              </w:rPr>
              <w:t>Uitstroom: naar regulier werk</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14</w:t>
            </w:r>
          </w:p>
        </w:tc>
      </w:tr>
      <w:tr w:rsidR="00682093" w:rsidRPr="00682093" w:rsidTr="0068209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r w:rsidRPr="00682093">
              <w:rPr>
                <w:rFonts w:eastAsia="Times New Roman" w:cs="Arial"/>
                <w:sz w:val="20"/>
                <w:szCs w:val="20"/>
              </w:rPr>
              <w:t>Uitstroom: reden niet aangegeven</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right"/>
              <w:rPr>
                <w:rFonts w:eastAsia="Times New Roman" w:cs="Arial"/>
                <w:sz w:val="20"/>
                <w:szCs w:val="20"/>
              </w:rPr>
            </w:pPr>
            <w:r w:rsidRPr="00682093">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right"/>
              <w:rPr>
                <w:rFonts w:eastAsia="Times New Roman" w:cs="Arial"/>
                <w:sz w:val="20"/>
                <w:szCs w:val="20"/>
              </w:rPr>
            </w:pPr>
            <w:r w:rsidRPr="00682093">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right"/>
              <w:rPr>
                <w:rFonts w:eastAsia="Times New Roman" w:cs="Arial"/>
                <w:sz w:val="20"/>
                <w:szCs w:val="20"/>
              </w:rPr>
            </w:pPr>
            <w:r w:rsidRPr="00682093">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3</w:t>
            </w:r>
          </w:p>
        </w:tc>
      </w:tr>
      <w:tr w:rsidR="00682093" w:rsidRPr="00682093" w:rsidTr="0068209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r w:rsidRPr="00682093">
              <w:rPr>
                <w:rFonts w:eastAsia="Times New Roman" w:cs="Arial"/>
                <w:sz w:val="20"/>
                <w:szCs w:val="20"/>
              </w:rPr>
              <w:t>Totaal uitstroom van jongeren</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sz w:val="20"/>
                <w:szCs w:val="20"/>
              </w:rPr>
            </w:pPr>
            <w:r w:rsidRPr="00682093">
              <w:rPr>
                <w:rFonts w:eastAsia="Times New Roman" w:cs="Arial"/>
                <w:sz w:val="20"/>
                <w:szCs w:val="20"/>
              </w:rPr>
              <w:t>258</w:t>
            </w:r>
          </w:p>
        </w:tc>
      </w:tr>
      <w:tr w:rsidR="00682093" w:rsidRPr="00682093" w:rsidTr="0068209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r w:rsidRPr="00682093">
              <w:rPr>
                <w:rFonts w:eastAsia="Times New Roman" w:cs="Arial"/>
                <w:sz w:val="20"/>
                <w:szCs w:val="20"/>
              </w:rPr>
              <w:t xml:space="preserve">Aantal lopende brugprojecten </w:t>
            </w:r>
          </w:p>
        </w:tc>
        <w:tc>
          <w:tcPr>
            <w:tcW w:w="0" w:type="auto"/>
            <w:tcBorders>
              <w:top w:val="nil"/>
              <w:left w:val="nil"/>
              <w:bottom w:val="nil"/>
              <w:right w:val="nil"/>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682093" w:rsidRPr="00682093" w:rsidRDefault="00682093" w:rsidP="00682093">
            <w:pPr>
              <w:spacing w:after="0" w:line="240" w:lineRule="auto"/>
              <w:rPr>
                <w:rFonts w:eastAsia="Times New Roman"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2093" w:rsidRPr="00682093" w:rsidRDefault="00682093" w:rsidP="00682093">
            <w:pPr>
              <w:spacing w:after="0" w:line="240" w:lineRule="auto"/>
              <w:jc w:val="center"/>
              <w:rPr>
                <w:rFonts w:eastAsia="Times New Roman" w:cs="Arial"/>
                <w:b/>
                <w:bCs/>
                <w:sz w:val="20"/>
                <w:szCs w:val="20"/>
              </w:rPr>
            </w:pPr>
            <w:r w:rsidRPr="00682093">
              <w:rPr>
                <w:rFonts w:eastAsia="Times New Roman" w:cs="Arial"/>
                <w:b/>
                <w:bCs/>
                <w:sz w:val="20"/>
                <w:szCs w:val="20"/>
              </w:rPr>
              <w:t>47</w:t>
            </w:r>
          </w:p>
        </w:tc>
      </w:tr>
    </w:tbl>
    <w:p w:rsidR="00E00C70" w:rsidRPr="003E0F5A" w:rsidRDefault="00E00C70" w:rsidP="00E00C70">
      <w:pPr>
        <w:rPr>
          <w:sz w:val="20"/>
          <w:szCs w:val="20"/>
        </w:rPr>
      </w:pPr>
    </w:p>
    <w:p w:rsidR="009F7D5C" w:rsidRPr="003E0F5A" w:rsidRDefault="009F7D5C" w:rsidP="00E00C70">
      <w:pPr>
        <w:rPr>
          <w:sz w:val="20"/>
          <w:szCs w:val="20"/>
        </w:rPr>
      </w:pPr>
      <w:r w:rsidRPr="003E0F5A">
        <w:rPr>
          <w:sz w:val="20"/>
          <w:szCs w:val="20"/>
        </w:rPr>
        <w:t xml:space="preserve">Slechts een deel </w:t>
      </w:r>
      <w:r w:rsidR="001B51B9" w:rsidRPr="003E0F5A">
        <w:rPr>
          <w:sz w:val="20"/>
          <w:szCs w:val="20"/>
        </w:rPr>
        <w:t>daarvan</w:t>
      </w:r>
      <w:r w:rsidRPr="003E0F5A">
        <w:rPr>
          <w:sz w:val="20"/>
          <w:szCs w:val="20"/>
        </w:rPr>
        <w:t xml:space="preserve"> gefinancierd door het project. </w:t>
      </w:r>
      <w:r w:rsidR="001B51B9" w:rsidRPr="003E0F5A">
        <w:rPr>
          <w:sz w:val="20"/>
          <w:szCs w:val="20"/>
        </w:rPr>
        <w:t>Hieronder het overzicht van de  begeleidingen gefinancierd door het project:</w:t>
      </w:r>
    </w:p>
    <w:tbl>
      <w:tblPr>
        <w:tblW w:w="0" w:type="auto"/>
        <w:tblCellMar>
          <w:left w:w="70" w:type="dxa"/>
          <w:right w:w="70" w:type="dxa"/>
        </w:tblCellMar>
        <w:tblLook w:val="04A0" w:firstRow="1" w:lastRow="0" w:firstColumn="1" w:lastColumn="0" w:noHBand="0" w:noVBand="1"/>
      </w:tblPr>
      <w:tblGrid>
        <w:gridCol w:w="2932"/>
        <w:gridCol w:w="437"/>
        <w:gridCol w:w="431"/>
        <w:gridCol w:w="465"/>
        <w:gridCol w:w="448"/>
        <w:gridCol w:w="405"/>
        <w:gridCol w:w="437"/>
        <w:gridCol w:w="448"/>
        <w:gridCol w:w="431"/>
        <w:gridCol w:w="457"/>
        <w:gridCol w:w="414"/>
        <w:gridCol w:w="648"/>
      </w:tblGrid>
      <w:tr w:rsidR="001B51B9" w:rsidRPr="003E0F5A" w:rsidTr="00682093">
        <w:trPr>
          <w:trHeight w:val="264"/>
        </w:trPr>
        <w:tc>
          <w:tcPr>
            <w:tcW w:w="0" w:type="auto"/>
            <w:tcBorders>
              <w:top w:val="nil"/>
              <w:left w:val="nil"/>
              <w:bottom w:val="nil"/>
              <w:right w:val="nil"/>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Sep</w:t>
            </w:r>
          </w:p>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16</w:t>
            </w:r>
          </w:p>
        </w:tc>
        <w:tc>
          <w:tcPr>
            <w:tcW w:w="0" w:type="auto"/>
            <w:tcBorders>
              <w:top w:val="single" w:sz="4" w:space="0" w:color="auto"/>
              <w:left w:val="nil"/>
              <w:bottom w:val="nil"/>
              <w:right w:val="single" w:sz="4" w:space="0" w:color="auto"/>
            </w:tcBorders>
            <w:shd w:val="clear" w:color="auto" w:fill="auto"/>
            <w:noWrap/>
            <w:vAlign w:val="bottom"/>
            <w:hideMark/>
          </w:tcPr>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Okt</w:t>
            </w:r>
          </w:p>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16</w:t>
            </w:r>
          </w:p>
        </w:tc>
        <w:tc>
          <w:tcPr>
            <w:tcW w:w="0" w:type="auto"/>
            <w:tcBorders>
              <w:top w:val="single" w:sz="4" w:space="0" w:color="auto"/>
              <w:left w:val="nil"/>
              <w:bottom w:val="nil"/>
              <w:right w:val="single" w:sz="4" w:space="0" w:color="auto"/>
            </w:tcBorders>
            <w:shd w:val="clear" w:color="auto" w:fill="auto"/>
            <w:noWrap/>
            <w:vAlign w:val="bottom"/>
            <w:hideMark/>
          </w:tcPr>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Nov</w:t>
            </w:r>
          </w:p>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16</w:t>
            </w:r>
          </w:p>
        </w:tc>
        <w:tc>
          <w:tcPr>
            <w:tcW w:w="0" w:type="auto"/>
            <w:tcBorders>
              <w:top w:val="single" w:sz="4" w:space="0" w:color="auto"/>
              <w:left w:val="nil"/>
              <w:bottom w:val="nil"/>
              <w:right w:val="single" w:sz="4" w:space="0" w:color="auto"/>
            </w:tcBorders>
            <w:shd w:val="clear" w:color="auto" w:fill="auto"/>
            <w:noWrap/>
            <w:vAlign w:val="bottom"/>
            <w:hideMark/>
          </w:tcPr>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Dec</w:t>
            </w:r>
          </w:p>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16</w:t>
            </w:r>
          </w:p>
        </w:tc>
        <w:tc>
          <w:tcPr>
            <w:tcW w:w="0" w:type="auto"/>
            <w:tcBorders>
              <w:top w:val="single" w:sz="4" w:space="0" w:color="auto"/>
              <w:left w:val="nil"/>
              <w:bottom w:val="nil"/>
              <w:right w:val="single" w:sz="4" w:space="0" w:color="auto"/>
            </w:tcBorders>
            <w:shd w:val="clear" w:color="auto" w:fill="auto"/>
            <w:noWrap/>
            <w:vAlign w:val="bottom"/>
            <w:hideMark/>
          </w:tcPr>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Jan</w:t>
            </w:r>
          </w:p>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17</w:t>
            </w:r>
          </w:p>
        </w:tc>
        <w:tc>
          <w:tcPr>
            <w:tcW w:w="416" w:type="dxa"/>
            <w:tcBorders>
              <w:top w:val="single" w:sz="4" w:space="0" w:color="auto"/>
              <w:left w:val="nil"/>
              <w:bottom w:val="nil"/>
              <w:right w:val="single" w:sz="4" w:space="0" w:color="auto"/>
            </w:tcBorders>
            <w:shd w:val="clear" w:color="auto" w:fill="auto"/>
            <w:noWrap/>
            <w:vAlign w:val="bottom"/>
            <w:hideMark/>
          </w:tcPr>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Feb</w:t>
            </w:r>
          </w:p>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17</w:t>
            </w:r>
          </w:p>
        </w:tc>
        <w:tc>
          <w:tcPr>
            <w:tcW w:w="372" w:type="dxa"/>
            <w:tcBorders>
              <w:top w:val="single" w:sz="4" w:space="0" w:color="auto"/>
              <w:left w:val="nil"/>
              <w:bottom w:val="nil"/>
              <w:right w:val="single" w:sz="4" w:space="0" w:color="auto"/>
            </w:tcBorders>
            <w:shd w:val="clear" w:color="auto" w:fill="auto"/>
            <w:noWrap/>
            <w:vAlign w:val="bottom"/>
            <w:hideMark/>
          </w:tcPr>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Mrt</w:t>
            </w:r>
          </w:p>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17</w:t>
            </w:r>
          </w:p>
        </w:tc>
        <w:tc>
          <w:tcPr>
            <w:tcW w:w="389" w:type="dxa"/>
            <w:tcBorders>
              <w:top w:val="single" w:sz="4" w:space="0" w:color="auto"/>
              <w:left w:val="nil"/>
              <w:bottom w:val="nil"/>
              <w:right w:val="single" w:sz="4" w:space="0" w:color="auto"/>
            </w:tcBorders>
            <w:shd w:val="clear" w:color="auto" w:fill="auto"/>
            <w:noWrap/>
            <w:vAlign w:val="bottom"/>
            <w:hideMark/>
          </w:tcPr>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Apr</w:t>
            </w:r>
          </w:p>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17</w:t>
            </w:r>
          </w:p>
        </w:tc>
        <w:tc>
          <w:tcPr>
            <w:tcW w:w="0" w:type="auto"/>
            <w:tcBorders>
              <w:top w:val="single" w:sz="4" w:space="0" w:color="auto"/>
              <w:left w:val="nil"/>
              <w:bottom w:val="nil"/>
              <w:right w:val="single" w:sz="4" w:space="0" w:color="auto"/>
            </w:tcBorders>
            <w:shd w:val="clear" w:color="auto" w:fill="auto"/>
            <w:noWrap/>
            <w:vAlign w:val="bottom"/>
            <w:hideMark/>
          </w:tcPr>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Mei</w:t>
            </w:r>
          </w:p>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17</w:t>
            </w:r>
          </w:p>
        </w:tc>
        <w:tc>
          <w:tcPr>
            <w:tcW w:w="0" w:type="auto"/>
            <w:tcBorders>
              <w:top w:val="single" w:sz="4" w:space="0" w:color="auto"/>
              <w:left w:val="nil"/>
              <w:bottom w:val="nil"/>
              <w:right w:val="single" w:sz="4" w:space="0" w:color="auto"/>
            </w:tcBorders>
            <w:shd w:val="clear" w:color="auto" w:fill="auto"/>
            <w:noWrap/>
            <w:vAlign w:val="bottom"/>
            <w:hideMark/>
          </w:tcPr>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Jun</w:t>
            </w:r>
          </w:p>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17</w:t>
            </w:r>
          </w:p>
        </w:tc>
        <w:tc>
          <w:tcPr>
            <w:tcW w:w="0" w:type="auto"/>
            <w:tcBorders>
              <w:top w:val="single" w:sz="4" w:space="0" w:color="auto"/>
              <w:left w:val="nil"/>
              <w:bottom w:val="nil"/>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Totaal</w:t>
            </w:r>
          </w:p>
        </w:tc>
      </w:tr>
      <w:tr w:rsidR="001B51B9" w:rsidRPr="003E0F5A" w:rsidTr="0068209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r w:rsidRPr="003E0F5A">
              <w:rPr>
                <w:rFonts w:eastAsia="Times New Roman" w:cs="Arial"/>
                <w:sz w:val="20"/>
                <w:szCs w:val="20"/>
              </w:rPr>
              <w:t>Instroom van jongeren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19</w:t>
            </w:r>
          </w:p>
        </w:tc>
        <w:tc>
          <w:tcPr>
            <w:tcW w:w="398" w:type="dxa"/>
            <w:tcBorders>
              <w:top w:val="single" w:sz="4" w:space="0" w:color="auto"/>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15</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126</w:t>
            </w:r>
          </w:p>
        </w:tc>
      </w:tr>
      <w:tr w:rsidR="001B51B9" w:rsidRPr="003E0F5A" w:rsidTr="0068209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r w:rsidRPr="003E0F5A">
              <w:rPr>
                <w:rFonts w:eastAsia="Times New Roman" w:cs="Arial"/>
                <w:sz w:val="20"/>
                <w:szCs w:val="20"/>
              </w:rPr>
              <w:t>Uitstroom: persoonlijke redenen*</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10</w:t>
            </w:r>
          </w:p>
        </w:tc>
        <w:tc>
          <w:tcPr>
            <w:tcW w:w="398"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9</w:t>
            </w:r>
          </w:p>
        </w:tc>
        <w:tc>
          <w:tcPr>
            <w:tcW w:w="416"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7</w:t>
            </w:r>
          </w:p>
        </w:tc>
        <w:tc>
          <w:tcPr>
            <w:tcW w:w="372"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37</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100</w:t>
            </w:r>
          </w:p>
        </w:tc>
      </w:tr>
      <w:tr w:rsidR="001B51B9" w:rsidRPr="003E0F5A" w:rsidTr="0068209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r w:rsidRPr="003E0F5A">
              <w:rPr>
                <w:rFonts w:eastAsia="Times New Roman" w:cs="Arial"/>
                <w:sz w:val="20"/>
                <w:szCs w:val="20"/>
              </w:rPr>
              <w:t>Uitstroom: einde brugproject</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2</w:t>
            </w:r>
          </w:p>
        </w:tc>
        <w:tc>
          <w:tcPr>
            <w:tcW w:w="398"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2</w:t>
            </w:r>
          </w:p>
        </w:tc>
        <w:tc>
          <w:tcPr>
            <w:tcW w:w="372"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9</w:t>
            </w:r>
          </w:p>
        </w:tc>
      </w:tr>
      <w:tr w:rsidR="001B51B9" w:rsidRPr="003E0F5A" w:rsidTr="0068209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r w:rsidRPr="003E0F5A">
              <w:rPr>
                <w:rFonts w:eastAsia="Times New Roman" w:cs="Arial"/>
                <w:sz w:val="20"/>
                <w:szCs w:val="20"/>
              </w:rPr>
              <w:t>Uitstroom: naar regulier werk</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w:t>
            </w:r>
          </w:p>
        </w:tc>
        <w:tc>
          <w:tcPr>
            <w:tcW w:w="398"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4</w:t>
            </w:r>
          </w:p>
        </w:tc>
        <w:tc>
          <w:tcPr>
            <w:tcW w:w="372"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14</w:t>
            </w:r>
          </w:p>
        </w:tc>
      </w:tr>
      <w:tr w:rsidR="001B51B9" w:rsidRPr="003E0F5A" w:rsidTr="0068209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r w:rsidRPr="003E0F5A">
              <w:rPr>
                <w:rFonts w:eastAsia="Times New Roman" w:cs="Arial"/>
                <w:sz w:val="20"/>
                <w:szCs w:val="20"/>
              </w:rPr>
              <w:t>Uitstroom: reden niet aangegeven</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1</w:t>
            </w:r>
          </w:p>
        </w:tc>
        <w:tc>
          <w:tcPr>
            <w:tcW w:w="398"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r w:rsidRPr="003E0F5A">
              <w:rPr>
                <w:rFonts w:eastAsia="Times New Roman" w:cs="Arial"/>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right"/>
              <w:rPr>
                <w:rFonts w:eastAsia="Times New Roman" w:cs="Arial"/>
                <w:sz w:val="20"/>
                <w:szCs w:val="20"/>
              </w:rPr>
            </w:pPr>
            <w:r w:rsidRPr="003E0F5A">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3</w:t>
            </w:r>
          </w:p>
        </w:tc>
      </w:tr>
      <w:tr w:rsidR="001B51B9" w:rsidRPr="003E0F5A" w:rsidTr="0068209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r w:rsidRPr="003E0F5A">
              <w:rPr>
                <w:rFonts w:eastAsia="Times New Roman" w:cs="Arial"/>
                <w:sz w:val="20"/>
                <w:szCs w:val="20"/>
              </w:rPr>
              <w:t>Totaal uitstroom van jongeren</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398"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sz w:val="20"/>
                <w:szCs w:val="20"/>
              </w:rPr>
            </w:pPr>
            <w:r w:rsidRPr="003E0F5A">
              <w:rPr>
                <w:rFonts w:eastAsia="Times New Roman" w:cs="Arial"/>
                <w:sz w:val="20"/>
                <w:szCs w:val="20"/>
              </w:rPr>
              <w:t>126</w:t>
            </w:r>
          </w:p>
        </w:tc>
      </w:tr>
      <w:tr w:rsidR="001B51B9" w:rsidRPr="003E0F5A" w:rsidTr="00682093">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r w:rsidRPr="003E0F5A">
              <w:rPr>
                <w:rFonts w:eastAsia="Times New Roman" w:cs="Arial"/>
                <w:sz w:val="20"/>
                <w:szCs w:val="20"/>
              </w:rPr>
              <w:t xml:space="preserve">Aantal lopende brugprojecten </w:t>
            </w:r>
          </w:p>
        </w:tc>
        <w:tc>
          <w:tcPr>
            <w:tcW w:w="0" w:type="auto"/>
            <w:tcBorders>
              <w:top w:val="nil"/>
              <w:left w:val="nil"/>
              <w:bottom w:val="nil"/>
              <w:right w:val="nil"/>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p>
        </w:tc>
        <w:tc>
          <w:tcPr>
            <w:tcW w:w="398" w:type="dxa"/>
            <w:tcBorders>
              <w:top w:val="nil"/>
              <w:left w:val="nil"/>
              <w:bottom w:val="nil"/>
              <w:right w:val="nil"/>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p>
        </w:tc>
        <w:tc>
          <w:tcPr>
            <w:tcW w:w="416" w:type="dxa"/>
            <w:tcBorders>
              <w:top w:val="nil"/>
              <w:left w:val="nil"/>
              <w:bottom w:val="nil"/>
              <w:right w:val="nil"/>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p>
        </w:tc>
        <w:tc>
          <w:tcPr>
            <w:tcW w:w="372" w:type="dxa"/>
            <w:tcBorders>
              <w:top w:val="nil"/>
              <w:left w:val="nil"/>
              <w:bottom w:val="nil"/>
              <w:right w:val="nil"/>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p>
        </w:tc>
        <w:tc>
          <w:tcPr>
            <w:tcW w:w="0" w:type="auto"/>
            <w:tcBorders>
              <w:top w:val="nil"/>
              <w:left w:val="nil"/>
              <w:bottom w:val="nil"/>
              <w:right w:val="nil"/>
            </w:tcBorders>
            <w:shd w:val="clear" w:color="auto" w:fill="auto"/>
            <w:noWrap/>
            <w:vAlign w:val="bottom"/>
            <w:hideMark/>
          </w:tcPr>
          <w:p w:rsidR="001B51B9" w:rsidRPr="003E0F5A" w:rsidRDefault="001B51B9" w:rsidP="001B51B9">
            <w:pPr>
              <w:spacing w:after="0" w:line="240" w:lineRule="auto"/>
              <w:rPr>
                <w:rFonts w:eastAsia="Times New Roman"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1B9" w:rsidRPr="003E0F5A" w:rsidRDefault="001B51B9" w:rsidP="001B51B9">
            <w:pPr>
              <w:spacing w:after="0" w:line="240" w:lineRule="auto"/>
              <w:jc w:val="center"/>
              <w:rPr>
                <w:rFonts w:eastAsia="Times New Roman" w:cs="Arial"/>
                <w:b/>
                <w:bCs/>
                <w:sz w:val="20"/>
                <w:szCs w:val="20"/>
              </w:rPr>
            </w:pPr>
            <w:r w:rsidRPr="003E0F5A">
              <w:rPr>
                <w:rFonts w:eastAsia="Times New Roman" w:cs="Arial"/>
                <w:b/>
                <w:bCs/>
                <w:sz w:val="20"/>
                <w:szCs w:val="20"/>
              </w:rPr>
              <w:t>0</w:t>
            </w:r>
          </w:p>
        </w:tc>
      </w:tr>
    </w:tbl>
    <w:p w:rsidR="001B51B9" w:rsidRPr="003E0F5A" w:rsidRDefault="001B51B9" w:rsidP="00E00C70">
      <w:pPr>
        <w:rPr>
          <w:sz w:val="20"/>
          <w:szCs w:val="20"/>
        </w:rPr>
      </w:pPr>
    </w:p>
    <w:p w:rsidR="004F21D8" w:rsidRPr="003E0F5A" w:rsidRDefault="004F21D8" w:rsidP="00E00C70">
      <w:pPr>
        <w:rPr>
          <w:sz w:val="20"/>
          <w:szCs w:val="20"/>
        </w:rPr>
      </w:pPr>
      <w:r w:rsidRPr="003E0F5A">
        <w:rPr>
          <w:sz w:val="20"/>
          <w:szCs w:val="20"/>
        </w:rPr>
        <w:t>De precieze aantallen voor de laatste maanden van 2017 worden opgenomen in de rapportering voor het schooljaar 2017-2018.</w:t>
      </w:r>
    </w:p>
    <w:p w:rsidR="00AD542D" w:rsidRPr="003E0F5A" w:rsidRDefault="00AD542D" w:rsidP="00AD542D">
      <w:pPr>
        <w:pStyle w:val="Lijstalinea"/>
        <w:numPr>
          <w:ilvl w:val="0"/>
          <w:numId w:val="1"/>
        </w:numPr>
        <w:rPr>
          <w:sz w:val="20"/>
          <w:szCs w:val="20"/>
        </w:rPr>
      </w:pPr>
      <w:r w:rsidRPr="003E0F5A">
        <w:rPr>
          <w:sz w:val="20"/>
          <w:szCs w:val="20"/>
        </w:rPr>
        <w:t>De middelen nodig om deze actie te realiseren</w:t>
      </w:r>
    </w:p>
    <w:p w:rsidR="004F21D8" w:rsidRPr="003E0F5A" w:rsidRDefault="003E0F5A" w:rsidP="004F21D8">
      <w:pPr>
        <w:rPr>
          <w:sz w:val="20"/>
          <w:szCs w:val="20"/>
        </w:rPr>
      </w:pPr>
      <w:r w:rsidRPr="003E0F5A">
        <w:rPr>
          <w:sz w:val="20"/>
          <w:szCs w:val="20"/>
        </w:rPr>
        <w:t xml:space="preserve">De totale kost van de 11 </w:t>
      </w:r>
      <w:r>
        <w:rPr>
          <w:sz w:val="20"/>
          <w:szCs w:val="20"/>
        </w:rPr>
        <w:t xml:space="preserve">bijkomende </w:t>
      </w:r>
      <w:r w:rsidRPr="003E0F5A">
        <w:rPr>
          <w:sz w:val="20"/>
          <w:szCs w:val="20"/>
        </w:rPr>
        <w:t xml:space="preserve">halftijdse begeleiders was 224.681,62 </w:t>
      </w:r>
      <w:r w:rsidR="004F21D8" w:rsidRPr="003E0F5A">
        <w:rPr>
          <w:sz w:val="20"/>
          <w:szCs w:val="20"/>
        </w:rPr>
        <w:t>euro</w:t>
      </w:r>
    </w:p>
    <w:p w:rsidR="00AD542D" w:rsidRPr="003E0F5A" w:rsidRDefault="00AD542D" w:rsidP="00AD542D">
      <w:pPr>
        <w:pStyle w:val="Lijstalinea"/>
        <w:numPr>
          <w:ilvl w:val="0"/>
          <w:numId w:val="1"/>
        </w:numPr>
        <w:rPr>
          <w:sz w:val="20"/>
          <w:szCs w:val="20"/>
        </w:rPr>
      </w:pPr>
      <w:r w:rsidRPr="003E0F5A">
        <w:rPr>
          <w:sz w:val="20"/>
          <w:szCs w:val="20"/>
        </w:rPr>
        <w:t>Redenen waardoor de beoogde doelstelling niet werd bereikt</w:t>
      </w:r>
    </w:p>
    <w:p w:rsidR="00E7365B" w:rsidRPr="003E0F5A" w:rsidRDefault="00E7365B" w:rsidP="00E7365B">
      <w:pPr>
        <w:rPr>
          <w:sz w:val="20"/>
          <w:szCs w:val="20"/>
        </w:rPr>
      </w:pPr>
      <w:r w:rsidRPr="003E0F5A">
        <w:rPr>
          <w:sz w:val="20"/>
          <w:szCs w:val="20"/>
        </w:rPr>
        <w:t xml:space="preserve">Er werd een totale uitstroom gerapporteerd van 258 deelnemers. </w:t>
      </w:r>
    </w:p>
    <w:p w:rsidR="00E7365B" w:rsidRPr="003E0F5A" w:rsidRDefault="00E7365B" w:rsidP="00E7365B">
      <w:pPr>
        <w:pStyle w:val="Lijstalinea"/>
        <w:numPr>
          <w:ilvl w:val="0"/>
          <w:numId w:val="4"/>
        </w:numPr>
        <w:rPr>
          <w:sz w:val="20"/>
          <w:szCs w:val="20"/>
        </w:rPr>
      </w:pPr>
      <w:r w:rsidRPr="003E0F5A">
        <w:rPr>
          <w:sz w:val="20"/>
          <w:szCs w:val="20"/>
        </w:rPr>
        <w:t xml:space="preserve">14  jongeren maakten reeds in de loop van het project de overstap naar regulier werk – een van de opzetten </w:t>
      </w:r>
      <w:proofErr w:type="spellStart"/>
      <w:r w:rsidRPr="003E0F5A">
        <w:rPr>
          <w:sz w:val="20"/>
          <w:szCs w:val="20"/>
        </w:rPr>
        <w:t>enlijke</w:t>
      </w:r>
      <w:proofErr w:type="spellEnd"/>
      <w:r w:rsidRPr="003E0F5A">
        <w:rPr>
          <w:sz w:val="20"/>
          <w:szCs w:val="20"/>
        </w:rPr>
        <w:t xml:space="preserve"> opzet van de brugprojecten. </w:t>
      </w:r>
    </w:p>
    <w:p w:rsidR="00E7365B" w:rsidRPr="003E0F5A" w:rsidRDefault="00E7365B" w:rsidP="00E7365B">
      <w:pPr>
        <w:pStyle w:val="Lijstalinea"/>
        <w:rPr>
          <w:sz w:val="20"/>
          <w:szCs w:val="20"/>
        </w:rPr>
      </w:pPr>
      <w:r w:rsidRPr="003E0F5A">
        <w:rPr>
          <w:sz w:val="20"/>
          <w:szCs w:val="20"/>
        </w:rPr>
        <w:t xml:space="preserve">Sociale werkplaatsen / maatwerkbedrijven richten zich in hun aanwervingen prioritair op ‘zeer moeilijk bemiddelbare werkzoekenden’;  werkzoekenden die door een cumul van persoons- en </w:t>
      </w:r>
      <w:proofErr w:type="spellStart"/>
      <w:r w:rsidRPr="003E0F5A">
        <w:rPr>
          <w:sz w:val="20"/>
          <w:szCs w:val="20"/>
        </w:rPr>
        <w:lastRenderedPageBreak/>
        <w:t>omgevingsgebonden</w:t>
      </w:r>
      <w:proofErr w:type="spellEnd"/>
      <w:r w:rsidRPr="003E0F5A">
        <w:rPr>
          <w:sz w:val="20"/>
          <w:szCs w:val="20"/>
        </w:rPr>
        <w:t xml:space="preserve"> factoren, geen arbeidsplaats in het reguliere arbeidscircuit kunnen verwerven of behouden maar die onder begeleiding in staat zijn tot het verrichten van arbeid op maat. </w:t>
      </w:r>
    </w:p>
    <w:p w:rsidR="00E7365B" w:rsidRPr="003E0F5A" w:rsidRDefault="00E7365B" w:rsidP="00E7365B">
      <w:pPr>
        <w:pStyle w:val="Lijstalinea"/>
        <w:rPr>
          <w:sz w:val="20"/>
          <w:szCs w:val="20"/>
        </w:rPr>
      </w:pPr>
      <w:r w:rsidRPr="003E0F5A">
        <w:rPr>
          <w:sz w:val="20"/>
          <w:szCs w:val="20"/>
        </w:rPr>
        <w:t>De toeleiding van werknemers met een afstand tot de arbeidsmarkt mag louter via VDAB verlopen.</w:t>
      </w:r>
    </w:p>
    <w:p w:rsidR="00E7365B" w:rsidRPr="003E0F5A" w:rsidRDefault="00E7365B" w:rsidP="00E7365B">
      <w:pPr>
        <w:pStyle w:val="Lijstalinea"/>
        <w:numPr>
          <w:ilvl w:val="0"/>
          <w:numId w:val="4"/>
        </w:numPr>
        <w:rPr>
          <w:sz w:val="20"/>
          <w:szCs w:val="20"/>
        </w:rPr>
      </w:pPr>
      <w:r w:rsidRPr="003E0F5A">
        <w:rPr>
          <w:sz w:val="20"/>
          <w:szCs w:val="20"/>
        </w:rPr>
        <w:t xml:space="preserve">9 projecten eindigden in de loop van het schooljaar. </w:t>
      </w:r>
    </w:p>
    <w:p w:rsidR="00E7365B" w:rsidRPr="003E0F5A" w:rsidRDefault="00E7365B" w:rsidP="00E7365B">
      <w:pPr>
        <w:pStyle w:val="Lijstalinea"/>
        <w:rPr>
          <w:sz w:val="20"/>
          <w:szCs w:val="20"/>
        </w:rPr>
      </w:pPr>
      <w:r w:rsidRPr="003E0F5A">
        <w:rPr>
          <w:sz w:val="20"/>
          <w:szCs w:val="20"/>
        </w:rPr>
        <w:t xml:space="preserve">Een brugproject duurt 10 maanden (een schooljaar); projecten die na aanvang van het schooljaar starten, lopen tot na de start van het volgende schooljaar… in </w:t>
      </w:r>
      <w:proofErr w:type="spellStart"/>
      <w:r w:rsidRPr="003E0F5A">
        <w:rPr>
          <w:sz w:val="20"/>
          <w:szCs w:val="20"/>
        </w:rPr>
        <w:t>casu</w:t>
      </w:r>
      <w:proofErr w:type="spellEnd"/>
      <w:r w:rsidRPr="003E0F5A">
        <w:rPr>
          <w:sz w:val="20"/>
          <w:szCs w:val="20"/>
        </w:rPr>
        <w:t xml:space="preserve"> gaat het op uitstroom die eigenlijk het doorlopen van een volledig traject weerspiegelt. </w:t>
      </w:r>
    </w:p>
    <w:p w:rsidR="00E7365B" w:rsidRPr="003E0F5A" w:rsidRDefault="00E7365B" w:rsidP="00E7365B">
      <w:pPr>
        <w:pStyle w:val="Lijstalinea"/>
        <w:numPr>
          <w:ilvl w:val="0"/>
          <w:numId w:val="4"/>
        </w:numPr>
        <w:rPr>
          <w:sz w:val="20"/>
          <w:szCs w:val="20"/>
        </w:rPr>
      </w:pPr>
      <w:r w:rsidRPr="003E0F5A">
        <w:rPr>
          <w:sz w:val="20"/>
          <w:szCs w:val="20"/>
        </w:rPr>
        <w:t xml:space="preserve">232 jongeren stroomden uit ‘om persoonlijke redenen’. </w:t>
      </w:r>
    </w:p>
    <w:p w:rsidR="00E7365B" w:rsidRPr="003E0F5A" w:rsidRDefault="00E7365B" w:rsidP="00E7365B">
      <w:pPr>
        <w:pStyle w:val="Lijstalinea"/>
        <w:rPr>
          <w:sz w:val="20"/>
          <w:szCs w:val="20"/>
        </w:rPr>
      </w:pPr>
      <w:r w:rsidRPr="003E0F5A">
        <w:rPr>
          <w:sz w:val="20"/>
          <w:szCs w:val="20"/>
        </w:rPr>
        <w:t>Hierbij ging het in het verleden vooral om onvoldoende arbeidsattitudes, schoolmoeheid, diefstal, terugkeer naar voortrajecten, overstap naar andere brugprojecten.</w:t>
      </w:r>
    </w:p>
    <w:p w:rsidR="00E7365B" w:rsidRPr="003E0F5A" w:rsidRDefault="00E7365B" w:rsidP="00E7365B">
      <w:pPr>
        <w:pStyle w:val="Lijstalinea"/>
        <w:rPr>
          <w:sz w:val="20"/>
          <w:szCs w:val="20"/>
        </w:rPr>
      </w:pPr>
    </w:p>
    <w:p w:rsidR="00E7365B" w:rsidRPr="003E0F5A" w:rsidRDefault="00E7365B" w:rsidP="00F05100">
      <w:pPr>
        <w:pStyle w:val="Lijstalinea"/>
        <w:rPr>
          <w:sz w:val="20"/>
          <w:szCs w:val="20"/>
        </w:rPr>
      </w:pPr>
      <w:r w:rsidRPr="003E0F5A">
        <w:rPr>
          <w:sz w:val="20"/>
          <w:szCs w:val="20"/>
        </w:rPr>
        <w:t>De toename t.o.v. uitstroom om persoonlijke</w:t>
      </w:r>
      <w:r w:rsidR="00F05100" w:rsidRPr="003E0F5A">
        <w:rPr>
          <w:sz w:val="20"/>
          <w:szCs w:val="20"/>
        </w:rPr>
        <w:t xml:space="preserve"> redenen in het verleden heeft </w:t>
      </w:r>
      <w:r w:rsidRPr="003E0F5A">
        <w:rPr>
          <w:sz w:val="20"/>
          <w:szCs w:val="20"/>
        </w:rPr>
        <w:t xml:space="preserve">vooral te maken met de hervorming van het voorwaardenscheppend kader van de brugprojecten. Waar de jongere in het verleden genoot van een opleidingsvergoeding (gefinancierd binnen een ondertussen afgelopen ESF-project), valt hij nu terug op een vergoeding van 1€/uur… hetgeen weinig motiveert om te starten en geen incentive is om te volharden als het even moeilijker gaat. </w:t>
      </w:r>
      <w:r w:rsidR="00F05100" w:rsidRPr="003E0F5A">
        <w:rPr>
          <w:sz w:val="20"/>
          <w:szCs w:val="20"/>
        </w:rPr>
        <w:t xml:space="preserve">Dit </w:t>
      </w:r>
      <w:r w:rsidRPr="003E0F5A">
        <w:rPr>
          <w:sz w:val="20"/>
          <w:szCs w:val="20"/>
        </w:rPr>
        <w:t>kan ook mee verklaren waarom er, voor het eerst in enkele jaren, een daling is van uitstroom naar regulier werk.</w:t>
      </w:r>
    </w:p>
    <w:p w:rsidR="00E7365B" w:rsidRPr="003E0F5A" w:rsidRDefault="00E7365B" w:rsidP="00E7365B">
      <w:pPr>
        <w:rPr>
          <w:sz w:val="20"/>
          <w:szCs w:val="20"/>
        </w:rPr>
      </w:pPr>
    </w:p>
    <w:sectPr w:rsidR="00E7365B" w:rsidRPr="003E0F5A" w:rsidSect="00544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T Std 55 Roman">
    <w:altName w:val="Malgun Gothic"/>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E53"/>
    <w:multiLevelType w:val="hybridMultilevel"/>
    <w:tmpl w:val="83BC6206"/>
    <w:lvl w:ilvl="0" w:tplc="64A80420">
      <w:start w:val="19"/>
      <w:numFmt w:val="bullet"/>
      <w:lvlText w:val="-"/>
      <w:lvlJc w:val="left"/>
      <w:pPr>
        <w:ind w:left="720" w:hanging="360"/>
      </w:pPr>
      <w:rPr>
        <w:rFonts w:ascii="Avenir LT Std 55 Roman" w:eastAsiaTheme="minorEastAsia" w:hAnsi="Avenir LT Std 55 Roman"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CA5D70"/>
    <w:multiLevelType w:val="hybridMultilevel"/>
    <w:tmpl w:val="D0C47C20"/>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
    <w:nsid w:val="48DA167A"/>
    <w:multiLevelType w:val="hybridMultilevel"/>
    <w:tmpl w:val="CB0ACC84"/>
    <w:lvl w:ilvl="0" w:tplc="928EE410">
      <w:start w:val="20"/>
      <w:numFmt w:val="bullet"/>
      <w:lvlText w:val="-"/>
      <w:lvlJc w:val="left"/>
      <w:pPr>
        <w:ind w:left="720" w:hanging="360"/>
      </w:pPr>
      <w:rPr>
        <w:rFonts w:ascii="Calibri" w:eastAsiaTheme="minorEastAsia" w:hAnsi="Calibri" w:cstheme="minorBid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
    <w:nsid w:val="4A1012C2"/>
    <w:multiLevelType w:val="hybridMultilevel"/>
    <w:tmpl w:val="C02AB7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2D"/>
    <w:rsid w:val="00002452"/>
    <w:rsid w:val="00002BAC"/>
    <w:rsid w:val="00004031"/>
    <w:rsid w:val="00004388"/>
    <w:rsid w:val="00004C17"/>
    <w:rsid w:val="00010543"/>
    <w:rsid w:val="000107DC"/>
    <w:rsid w:val="00010823"/>
    <w:rsid w:val="00012672"/>
    <w:rsid w:val="0001434D"/>
    <w:rsid w:val="00015E55"/>
    <w:rsid w:val="00017861"/>
    <w:rsid w:val="00020320"/>
    <w:rsid w:val="000229F6"/>
    <w:rsid w:val="00022B55"/>
    <w:rsid w:val="0002395D"/>
    <w:rsid w:val="0002516E"/>
    <w:rsid w:val="00026169"/>
    <w:rsid w:val="00031BA8"/>
    <w:rsid w:val="00031D79"/>
    <w:rsid w:val="00032529"/>
    <w:rsid w:val="0003323E"/>
    <w:rsid w:val="00035ED5"/>
    <w:rsid w:val="000360F4"/>
    <w:rsid w:val="0004402C"/>
    <w:rsid w:val="00047AC6"/>
    <w:rsid w:val="00047F18"/>
    <w:rsid w:val="00050084"/>
    <w:rsid w:val="00052F66"/>
    <w:rsid w:val="000531DF"/>
    <w:rsid w:val="00053CCE"/>
    <w:rsid w:val="00056090"/>
    <w:rsid w:val="00056979"/>
    <w:rsid w:val="00057030"/>
    <w:rsid w:val="0005782D"/>
    <w:rsid w:val="00072202"/>
    <w:rsid w:val="00074C20"/>
    <w:rsid w:val="000752AE"/>
    <w:rsid w:val="000753A3"/>
    <w:rsid w:val="00076CC3"/>
    <w:rsid w:val="000776D1"/>
    <w:rsid w:val="00081388"/>
    <w:rsid w:val="00086D2B"/>
    <w:rsid w:val="00087F0B"/>
    <w:rsid w:val="000918D8"/>
    <w:rsid w:val="0009399F"/>
    <w:rsid w:val="000940F5"/>
    <w:rsid w:val="00096095"/>
    <w:rsid w:val="000A085B"/>
    <w:rsid w:val="000A54E1"/>
    <w:rsid w:val="000A6951"/>
    <w:rsid w:val="000B66BC"/>
    <w:rsid w:val="000B7301"/>
    <w:rsid w:val="000C0306"/>
    <w:rsid w:val="000C2F5A"/>
    <w:rsid w:val="000C7F84"/>
    <w:rsid w:val="000D07E9"/>
    <w:rsid w:val="000D2F4A"/>
    <w:rsid w:val="000D3F1A"/>
    <w:rsid w:val="000D5513"/>
    <w:rsid w:val="000D79A7"/>
    <w:rsid w:val="000E0F78"/>
    <w:rsid w:val="000E133F"/>
    <w:rsid w:val="000E5B93"/>
    <w:rsid w:val="000F010B"/>
    <w:rsid w:val="000F1219"/>
    <w:rsid w:val="000F36E2"/>
    <w:rsid w:val="000F3D39"/>
    <w:rsid w:val="000F4CE9"/>
    <w:rsid w:val="000F5F53"/>
    <w:rsid w:val="00101E37"/>
    <w:rsid w:val="00106769"/>
    <w:rsid w:val="001075E3"/>
    <w:rsid w:val="001108F7"/>
    <w:rsid w:val="00110A41"/>
    <w:rsid w:val="00110F85"/>
    <w:rsid w:val="00111631"/>
    <w:rsid w:val="001117E8"/>
    <w:rsid w:val="00111BEB"/>
    <w:rsid w:val="001134C1"/>
    <w:rsid w:val="00114875"/>
    <w:rsid w:val="00115B03"/>
    <w:rsid w:val="001175DA"/>
    <w:rsid w:val="00117D75"/>
    <w:rsid w:val="00121A77"/>
    <w:rsid w:val="001258CE"/>
    <w:rsid w:val="00126C9B"/>
    <w:rsid w:val="0013010F"/>
    <w:rsid w:val="001351FA"/>
    <w:rsid w:val="001373A0"/>
    <w:rsid w:val="00137BAA"/>
    <w:rsid w:val="00141C9E"/>
    <w:rsid w:val="001431A2"/>
    <w:rsid w:val="001440D4"/>
    <w:rsid w:val="0014446F"/>
    <w:rsid w:val="001446F0"/>
    <w:rsid w:val="0014492D"/>
    <w:rsid w:val="001535EF"/>
    <w:rsid w:val="00153712"/>
    <w:rsid w:val="00154230"/>
    <w:rsid w:val="0015441B"/>
    <w:rsid w:val="00154A54"/>
    <w:rsid w:val="001578FB"/>
    <w:rsid w:val="00161945"/>
    <w:rsid w:val="001635E3"/>
    <w:rsid w:val="00170D23"/>
    <w:rsid w:val="00172DDE"/>
    <w:rsid w:val="0017400A"/>
    <w:rsid w:val="00174E27"/>
    <w:rsid w:val="00180F30"/>
    <w:rsid w:val="0018187B"/>
    <w:rsid w:val="00183645"/>
    <w:rsid w:val="00183A77"/>
    <w:rsid w:val="00183EB6"/>
    <w:rsid w:val="0018445F"/>
    <w:rsid w:val="00185B7C"/>
    <w:rsid w:val="00186A1C"/>
    <w:rsid w:val="00187443"/>
    <w:rsid w:val="00187930"/>
    <w:rsid w:val="00187C1E"/>
    <w:rsid w:val="00190EEB"/>
    <w:rsid w:val="00194C4E"/>
    <w:rsid w:val="00194C64"/>
    <w:rsid w:val="00194ED3"/>
    <w:rsid w:val="00195948"/>
    <w:rsid w:val="0019632F"/>
    <w:rsid w:val="001A0C5B"/>
    <w:rsid w:val="001A0F1D"/>
    <w:rsid w:val="001A293D"/>
    <w:rsid w:val="001A3053"/>
    <w:rsid w:val="001A3E84"/>
    <w:rsid w:val="001A4B2F"/>
    <w:rsid w:val="001A59F9"/>
    <w:rsid w:val="001A7B01"/>
    <w:rsid w:val="001B3DE4"/>
    <w:rsid w:val="001B51B9"/>
    <w:rsid w:val="001C0027"/>
    <w:rsid w:val="001C26EB"/>
    <w:rsid w:val="001C3E75"/>
    <w:rsid w:val="001C580D"/>
    <w:rsid w:val="001C613E"/>
    <w:rsid w:val="001D0AD0"/>
    <w:rsid w:val="001D2012"/>
    <w:rsid w:val="001D2A0C"/>
    <w:rsid w:val="001D4F60"/>
    <w:rsid w:val="001D59C4"/>
    <w:rsid w:val="001D626C"/>
    <w:rsid w:val="001D65D5"/>
    <w:rsid w:val="001D6ED0"/>
    <w:rsid w:val="001E0E22"/>
    <w:rsid w:val="001E177C"/>
    <w:rsid w:val="001E2402"/>
    <w:rsid w:val="001E2E52"/>
    <w:rsid w:val="001E4FE8"/>
    <w:rsid w:val="001E6AA1"/>
    <w:rsid w:val="001E78FE"/>
    <w:rsid w:val="001F158C"/>
    <w:rsid w:val="001F2639"/>
    <w:rsid w:val="001F37C8"/>
    <w:rsid w:val="001F43F5"/>
    <w:rsid w:val="001F49D1"/>
    <w:rsid w:val="001F4EEB"/>
    <w:rsid w:val="002017D5"/>
    <w:rsid w:val="00203AEC"/>
    <w:rsid w:val="00206DC3"/>
    <w:rsid w:val="002109D0"/>
    <w:rsid w:val="00210A24"/>
    <w:rsid w:val="002120F2"/>
    <w:rsid w:val="002143B7"/>
    <w:rsid w:val="00217F19"/>
    <w:rsid w:val="00220E0B"/>
    <w:rsid w:val="00221B45"/>
    <w:rsid w:val="002267E6"/>
    <w:rsid w:val="00232C93"/>
    <w:rsid w:val="00233C36"/>
    <w:rsid w:val="002372EA"/>
    <w:rsid w:val="00241063"/>
    <w:rsid w:val="0024301D"/>
    <w:rsid w:val="00243F42"/>
    <w:rsid w:val="0024605D"/>
    <w:rsid w:val="00246CE6"/>
    <w:rsid w:val="002521E4"/>
    <w:rsid w:val="00252856"/>
    <w:rsid w:val="00252F87"/>
    <w:rsid w:val="00254692"/>
    <w:rsid w:val="002557F3"/>
    <w:rsid w:val="0025654F"/>
    <w:rsid w:val="00257ED1"/>
    <w:rsid w:val="0026110C"/>
    <w:rsid w:val="00266B61"/>
    <w:rsid w:val="00266E38"/>
    <w:rsid w:val="0027474A"/>
    <w:rsid w:val="00275249"/>
    <w:rsid w:val="00277098"/>
    <w:rsid w:val="00277C8A"/>
    <w:rsid w:val="002813C3"/>
    <w:rsid w:val="00284647"/>
    <w:rsid w:val="00285A98"/>
    <w:rsid w:val="00286CC5"/>
    <w:rsid w:val="00292324"/>
    <w:rsid w:val="002928AA"/>
    <w:rsid w:val="00293AAB"/>
    <w:rsid w:val="00294DEE"/>
    <w:rsid w:val="00296FE6"/>
    <w:rsid w:val="00297DE6"/>
    <w:rsid w:val="002A0498"/>
    <w:rsid w:val="002A5243"/>
    <w:rsid w:val="002A534C"/>
    <w:rsid w:val="002B0C2F"/>
    <w:rsid w:val="002B194C"/>
    <w:rsid w:val="002B3E4F"/>
    <w:rsid w:val="002B5583"/>
    <w:rsid w:val="002B578B"/>
    <w:rsid w:val="002C0BD7"/>
    <w:rsid w:val="002C1579"/>
    <w:rsid w:val="002C1ACE"/>
    <w:rsid w:val="002C6E66"/>
    <w:rsid w:val="002D1A2D"/>
    <w:rsid w:val="002D33DE"/>
    <w:rsid w:val="002D518E"/>
    <w:rsid w:val="002D7D14"/>
    <w:rsid w:val="002E2789"/>
    <w:rsid w:val="002E2A46"/>
    <w:rsid w:val="002E4C91"/>
    <w:rsid w:val="002F4BBB"/>
    <w:rsid w:val="002F5E29"/>
    <w:rsid w:val="002F7EA1"/>
    <w:rsid w:val="00302CEF"/>
    <w:rsid w:val="00304746"/>
    <w:rsid w:val="003070F2"/>
    <w:rsid w:val="00310EE8"/>
    <w:rsid w:val="00313446"/>
    <w:rsid w:val="00315612"/>
    <w:rsid w:val="00317802"/>
    <w:rsid w:val="00321763"/>
    <w:rsid w:val="0032184C"/>
    <w:rsid w:val="003223CB"/>
    <w:rsid w:val="00323535"/>
    <w:rsid w:val="003248EA"/>
    <w:rsid w:val="00326820"/>
    <w:rsid w:val="00326FF5"/>
    <w:rsid w:val="003316E6"/>
    <w:rsid w:val="003348F8"/>
    <w:rsid w:val="0034057C"/>
    <w:rsid w:val="00340A41"/>
    <w:rsid w:val="003468A7"/>
    <w:rsid w:val="00353934"/>
    <w:rsid w:val="00354EA7"/>
    <w:rsid w:val="0035659B"/>
    <w:rsid w:val="0036139F"/>
    <w:rsid w:val="003627E9"/>
    <w:rsid w:val="00363641"/>
    <w:rsid w:val="003647E0"/>
    <w:rsid w:val="00364B9F"/>
    <w:rsid w:val="00370085"/>
    <w:rsid w:val="00372F79"/>
    <w:rsid w:val="00375CD4"/>
    <w:rsid w:val="00375DD1"/>
    <w:rsid w:val="00381C6A"/>
    <w:rsid w:val="00384B88"/>
    <w:rsid w:val="0038763C"/>
    <w:rsid w:val="0039030F"/>
    <w:rsid w:val="00390B36"/>
    <w:rsid w:val="00391629"/>
    <w:rsid w:val="00397C82"/>
    <w:rsid w:val="003A073E"/>
    <w:rsid w:val="003A34CA"/>
    <w:rsid w:val="003A3977"/>
    <w:rsid w:val="003A3B9F"/>
    <w:rsid w:val="003A7141"/>
    <w:rsid w:val="003A7DA3"/>
    <w:rsid w:val="003B1CE8"/>
    <w:rsid w:val="003B1F3E"/>
    <w:rsid w:val="003B6F03"/>
    <w:rsid w:val="003B70F5"/>
    <w:rsid w:val="003C0C4E"/>
    <w:rsid w:val="003C4030"/>
    <w:rsid w:val="003C4326"/>
    <w:rsid w:val="003C4847"/>
    <w:rsid w:val="003C7989"/>
    <w:rsid w:val="003D0CCB"/>
    <w:rsid w:val="003D0EA0"/>
    <w:rsid w:val="003D2C0F"/>
    <w:rsid w:val="003D7EF4"/>
    <w:rsid w:val="003D7FDC"/>
    <w:rsid w:val="003E0F5A"/>
    <w:rsid w:val="003E2380"/>
    <w:rsid w:val="003E2DC9"/>
    <w:rsid w:val="003E2E6E"/>
    <w:rsid w:val="003E4430"/>
    <w:rsid w:val="003E53F5"/>
    <w:rsid w:val="003F0EFE"/>
    <w:rsid w:val="003F1316"/>
    <w:rsid w:val="003F22E7"/>
    <w:rsid w:val="003F2D27"/>
    <w:rsid w:val="003F4637"/>
    <w:rsid w:val="00403970"/>
    <w:rsid w:val="0040460C"/>
    <w:rsid w:val="0040629E"/>
    <w:rsid w:val="00416D81"/>
    <w:rsid w:val="00423716"/>
    <w:rsid w:val="004237D2"/>
    <w:rsid w:val="00424C55"/>
    <w:rsid w:val="00425946"/>
    <w:rsid w:val="0043062B"/>
    <w:rsid w:val="00433083"/>
    <w:rsid w:val="00436904"/>
    <w:rsid w:val="00436C7C"/>
    <w:rsid w:val="00440745"/>
    <w:rsid w:val="00441B91"/>
    <w:rsid w:val="004435A0"/>
    <w:rsid w:val="004435E2"/>
    <w:rsid w:val="00445AEE"/>
    <w:rsid w:val="00451297"/>
    <w:rsid w:val="0045327B"/>
    <w:rsid w:val="00456365"/>
    <w:rsid w:val="00457C86"/>
    <w:rsid w:val="00462CF5"/>
    <w:rsid w:val="00464339"/>
    <w:rsid w:val="00467C47"/>
    <w:rsid w:val="00470174"/>
    <w:rsid w:val="0047032F"/>
    <w:rsid w:val="004725BB"/>
    <w:rsid w:val="00475438"/>
    <w:rsid w:val="004766EB"/>
    <w:rsid w:val="00482131"/>
    <w:rsid w:val="00495BBA"/>
    <w:rsid w:val="00496AFA"/>
    <w:rsid w:val="00497F86"/>
    <w:rsid w:val="004A0BDC"/>
    <w:rsid w:val="004B1D24"/>
    <w:rsid w:val="004B2028"/>
    <w:rsid w:val="004B2400"/>
    <w:rsid w:val="004B2DC0"/>
    <w:rsid w:val="004B6323"/>
    <w:rsid w:val="004B6472"/>
    <w:rsid w:val="004C273F"/>
    <w:rsid w:val="004D2C48"/>
    <w:rsid w:val="004D4C19"/>
    <w:rsid w:val="004D5E1C"/>
    <w:rsid w:val="004D7A34"/>
    <w:rsid w:val="004E236C"/>
    <w:rsid w:val="004E3815"/>
    <w:rsid w:val="004E3B98"/>
    <w:rsid w:val="004E3BD5"/>
    <w:rsid w:val="004E4A57"/>
    <w:rsid w:val="004E60AA"/>
    <w:rsid w:val="004F1832"/>
    <w:rsid w:val="004F21D8"/>
    <w:rsid w:val="004F22CA"/>
    <w:rsid w:val="004F419C"/>
    <w:rsid w:val="004F4A0A"/>
    <w:rsid w:val="004F757E"/>
    <w:rsid w:val="005023E1"/>
    <w:rsid w:val="00504398"/>
    <w:rsid w:val="005070A0"/>
    <w:rsid w:val="00513CF4"/>
    <w:rsid w:val="00514F40"/>
    <w:rsid w:val="0052099F"/>
    <w:rsid w:val="00520ACD"/>
    <w:rsid w:val="005248CA"/>
    <w:rsid w:val="00525211"/>
    <w:rsid w:val="0052523C"/>
    <w:rsid w:val="0053034A"/>
    <w:rsid w:val="00530750"/>
    <w:rsid w:val="00533F70"/>
    <w:rsid w:val="00535AD2"/>
    <w:rsid w:val="0053759D"/>
    <w:rsid w:val="00541B5E"/>
    <w:rsid w:val="005436C2"/>
    <w:rsid w:val="00543C2C"/>
    <w:rsid w:val="005444BD"/>
    <w:rsid w:val="00544C78"/>
    <w:rsid w:val="00546D8E"/>
    <w:rsid w:val="00546F56"/>
    <w:rsid w:val="00550844"/>
    <w:rsid w:val="005529D3"/>
    <w:rsid w:val="005558F5"/>
    <w:rsid w:val="00555B61"/>
    <w:rsid w:val="00556631"/>
    <w:rsid w:val="00561293"/>
    <w:rsid w:val="0056249F"/>
    <w:rsid w:val="0056371B"/>
    <w:rsid w:val="0056371D"/>
    <w:rsid w:val="005658F2"/>
    <w:rsid w:val="00565CD2"/>
    <w:rsid w:val="00571743"/>
    <w:rsid w:val="00571AA9"/>
    <w:rsid w:val="00574139"/>
    <w:rsid w:val="0058142B"/>
    <w:rsid w:val="00583179"/>
    <w:rsid w:val="005834D0"/>
    <w:rsid w:val="00584961"/>
    <w:rsid w:val="0058777C"/>
    <w:rsid w:val="00587C58"/>
    <w:rsid w:val="00590532"/>
    <w:rsid w:val="0059186E"/>
    <w:rsid w:val="00593169"/>
    <w:rsid w:val="00593F7D"/>
    <w:rsid w:val="005A01EA"/>
    <w:rsid w:val="005A0531"/>
    <w:rsid w:val="005A0AE0"/>
    <w:rsid w:val="005A1AE1"/>
    <w:rsid w:val="005A2008"/>
    <w:rsid w:val="005A4680"/>
    <w:rsid w:val="005A7308"/>
    <w:rsid w:val="005B173B"/>
    <w:rsid w:val="005B304F"/>
    <w:rsid w:val="005B6F24"/>
    <w:rsid w:val="005C1307"/>
    <w:rsid w:val="005C3A35"/>
    <w:rsid w:val="005C3EE5"/>
    <w:rsid w:val="005C6483"/>
    <w:rsid w:val="005D0D76"/>
    <w:rsid w:val="005D446B"/>
    <w:rsid w:val="005D589D"/>
    <w:rsid w:val="005D6C2E"/>
    <w:rsid w:val="005D70C2"/>
    <w:rsid w:val="005E0560"/>
    <w:rsid w:val="005E0EEE"/>
    <w:rsid w:val="005E2A97"/>
    <w:rsid w:val="005E3898"/>
    <w:rsid w:val="005E7BBF"/>
    <w:rsid w:val="005F3E5D"/>
    <w:rsid w:val="005F5F0E"/>
    <w:rsid w:val="005F7BC0"/>
    <w:rsid w:val="006004AE"/>
    <w:rsid w:val="00600ABC"/>
    <w:rsid w:val="00600C33"/>
    <w:rsid w:val="006035B1"/>
    <w:rsid w:val="006071D1"/>
    <w:rsid w:val="00607A5F"/>
    <w:rsid w:val="00612C97"/>
    <w:rsid w:val="0062040B"/>
    <w:rsid w:val="00620436"/>
    <w:rsid w:val="00621FD6"/>
    <w:rsid w:val="00624A1D"/>
    <w:rsid w:val="00627DB1"/>
    <w:rsid w:val="00635225"/>
    <w:rsid w:val="006361D2"/>
    <w:rsid w:val="00637A36"/>
    <w:rsid w:val="00637F4A"/>
    <w:rsid w:val="00640D73"/>
    <w:rsid w:val="00641F60"/>
    <w:rsid w:val="00643D6D"/>
    <w:rsid w:val="0064422E"/>
    <w:rsid w:val="006513E7"/>
    <w:rsid w:val="0065247C"/>
    <w:rsid w:val="00652742"/>
    <w:rsid w:val="0065369E"/>
    <w:rsid w:val="00653CDB"/>
    <w:rsid w:val="00654650"/>
    <w:rsid w:val="0065523F"/>
    <w:rsid w:val="00656054"/>
    <w:rsid w:val="00656448"/>
    <w:rsid w:val="00662DBA"/>
    <w:rsid w:val="006630BB"/>
    <w:rsid w:val="006637F1"/>
    <w:rsid w:val="00664DE5"/>
    <w:rsid w:val="00665933"/>
    <w:rsid w:val="006727A2"/>
    <w:rsid w:val="00674877"/>
    <w:rsid w:val="0067498C"/>
    <w:rsid w:val="00677695"/>
    <w:rsid w:val="0068003E"/>
    <w:rsid w:val="00681A07"/>
    <w:rsid w:val="00681EBE"/>
    <w:rsid w:val="00682093"/>
    <w:rsid w:val="00682A1D"/>
    <w:rsid w:val="00682F4D"/>
    <w:rsid w:val="006839C8"/>
    <w:rsid w:val="00684B30"/>
    <w:rsid w:val="00685A32"/>
    <w:rsid w:val="006905DA"/>
    <w:rsid w:val="00690B71"/>
    <w:rsid w:val="00694C25"/>
    <w:rsid w:val="00696117"/>
    <w:rsid w:val="006970C5"/>
    <w:rsid w:val="00697D7B"/>
    <w:rsid w:val="006A71F1"/>
    <w:rsid w:val="006B13DE"/>
    <w:rsid w:val="006B4272"/>
    <w:rsid w:val="006B4F74"/>
    <w:rsid w:val="006B530A"/>
    <w:rsid w:val="006B6A69"/>
    <w:rsid w:val="006B6D25"/>
    <w:rsid w:val="006B7BAD"/>
    <w:rsid w:val="006C2949"/>
    <w:rsid w:val="006C3430"/>
    <w:rsid w:val="006D24AB"/>
    <w:rsid w:val="006D3389"/>
    <w:rsid w:val="006D711D"/>
    <w:rsid w:val="006E3680"/>
    <w:rsid w:val="006E5782"/>
    <w:rsid w:val="006E58B5"/>
    <w:rsid w:val="006E659B"/>
    <w:rsid w:val="006F0368"/>
    <w:rsid w:val="006F2AE3"/>
    <w:rsid w:val="006F5D4F"/>
    <w:rsid w:val="006F6693"/>
    <w:rsid w:val="00703C37"/>
    <w:rsid w:val="00704620"/>
    <w:rsid w:val="00705E9C"/>
    <w:rsid w:val="00710047"/>
    <w:rsid w:val="007101A1"/>
    <w:rsid w:val="00710BF3"/>
    <w:rsid w:val="007110B2"/>
    <w:rsid w:val="00715493"/>
    <w:rsid w:val="00722552"/>
    <w:rsid w:val="00727753"/>
    <w:rsid w:val="00733847"/>
    <w:rsid w:val="00735DCF"/>
    <w:rsid w:val="00736379"/>
    <w:rsid w:val="00737AE2"/>
    <w:rsid w:val="007415D1"/>
    <w:rsid w:val="00742457"/>
    <w:rsid w:val="00742766"/>
    <w:rsid w:val="00742E7B"/>
    <w:rsid w:val="00744133"/>
    <w:rsid w:val="00744DCC"/>
    <w:rsid w:val="00746065"/>
    <w:rsid w:val="007523A1"/>
    <w:rsid w:val="007538D9"/>
    <w:rsid w:val="00754C17"/>
    <w:rsid w:val="00754D8C"/>
    <w:rsid w:val="007574A4"/>
    <w:rsid w:val="00757E5F"/>
    <w:rsid w:val="00760448"/>
    <w:rsid w:val="0076178A"/>
    <w:rsid w:val="0076368A"/>
    <w:rsid w:val="00763807"/>
    <w:rsid w:val="007639A9"/>
    <w:rsid w:val="00763FB6"/>
    <w:rsid w:val="007667B6"/>
    <w:rsid w:val="00766C90"/>
    <w:rsid w:val="00766F02"/>
    <w:rsid w:val="00773911"/>
    <w:rsid w:val="00774162"/>
    <w:rsid w:val="00775789"/>
    <w:rsid w:val="007823BE"/>
    <w:rsid w:val="007833E1"/>
    <w:rsid w:val="00783499"/>
    <w:rsid w:val="007842FB"/>
    <w:rsid w:val="00785546"/>
    <w:rsid w:val="00786AE2"/>
    <w:rsid w:val="00786B15"/>
    <w:rsid w:val="007922B3"/>
    <w:rsid w:val="00794C32"/>
    <w:rsid w:val="0079755B"/>
    <w:rsid w:val="007A0D6D"/>
    <w:rsid w:val="007A37B2"/>
    <w:rsid w:val="007A5E4B"/>
    <w:rsid w:val="007A65D0"/>
    <w:rsid w:val="007B0218"/>
    <w:rsid w:val="007B350E"/>
    <w:rsid w:val="007B5D56"/>
    <w:rsid w:val="007C2148"/>
    <w:rsid w:val="007C2740"/>
    <w:rsid w:val="007C47CC"/>
    <w:rsid w:val="007D726B"/>
    <w:rsid w:val="007E3870"/>
    <w:rsid w:val="007E4987"/>
    <w:rsid w:val="007E4B15"/>
    <w:rsid w:val="007E6D4D"/>
    <w:rsid w:val="007E7149"/>
    <w:rsid w:val="007F0EAF"/>
    <w:rsid w:val="007F167B"/>
    <w:rsid w:val="007F26AD"/>
    <w:rsid w:val="00800217"/>
    <w:rsid w:val="00804B28"/>
    <w:rsid w:val="0080656C"/>
    <w:rsid w:val="008068DC"/>
    <w:rsid w:val="00806D71"/>
    <w:rsid w:val="00814B01"/>
    <w:rsid w:val="00815057"/>
    <w:rsid w:val="008156EC"/>
    <w:rsid w:val="00820609"/>
    <w:rsid w:val="0082169D"/>
    <w:rsid w:val="0082244D"/>
    <w:rsid w:val="00826845"/>
    <w:rsid w:val="00826C9E"/>
    <w:rsid w:val="00827137"/>
    <w:rsid w:val="00830F7A"/>
    <w:rsid w:val="0083364D"/>
    <w:rsid w:val="008367C2"/>
    <w:rsid w:val="008372DE"/>
    <w:rsid w:val="0084161D"/>
    <w:rsid w:val="008434F9"/>
    <w:rsid w:val="00843905"/>
    <w:rsid w:val="008443F6"/>
    <w:rsid w:val="00847406"/>
    <w:rsid w:val="00847D83"/>
    <w:rsid w:val="00852272"/>
    <w:rsid w:val="008529AA"/>
    <w:rsid w:val="008546D8"/>
    <w:rsid w:val="00854825"/>
    <w:rsid w:val="008569EB"/>
    <w:rsid w:val="00862619"/>
    <w:rsid w:val="0086390B"/>
    <w:rsid w:val="0086569F"/>
    <w:rsid w:val="00866B3C"/>
    <w:rsid w:val="008679AD"/>
    <w:rsid w:val="0087234C"/>
    <w:rsid w:val="00872B0D"/>
    <w:rsid w:val="00872DD5"/>
    <w:rsid w:val="008740AA"/>
    <w:rsid w:val="008743DF"/>
    <w:rsid w:val="0087611D"/>
    <w:rsid w:val="00880978"/>
    <w:rsid w:val="008811A7"/>
    <w:rsid w:val="00881361"/>
    <w:rsid w:val="00886E15"/>
    <w:rsid w:val="0089167E"/>
    <w:rsid w:val="00892179"/>
    <w:rsid w:val="008978CC"/>
    <w:rsid w:val="008A06DE"/>
    <w:rsid w:val="008A0EE8"/>
    <w:rsid w:val="008A4321"/>
    <w:rsid w:val="008A4E6B"/>
    <w:rsid w:val="008B1212"/>
    <w:rsid w:val="008B50B7"/>
    <w:rsid w:val="008B7861"/>
    <w:rsid w:val="008C12A2"/>
    <w:rsid w:val="008C27EA"/>
    <w:rsid w:val="008C4635"/>
    <w:rsid w:val="008C4B67"/>
    <w:rsid w:val="008C6EE1"/>
    <w:rsid w:val="008D33C8"/>
    <w:rsid w:val="008D3AEA"/>
    <w:rsid w:val="008D524A"/>
    <w:rsid w:val="008D6E3B"/>
    <w:rsid w:val="008E020C"/>
    <w:rsid w:val="008E2243"/>
    <w:rsid w:val="008E3BF5"/>
    <w:rsid w:val="008E410C"/>
    <w:rsid w:val="008E41CE"/>
    <w:rsid w:val="008E5B4A"/>
    <w:rsid w:val="008E6A6F"/>
    <w:rsid w:val="008E79DD"/>
    <w:rsid w:val="008F4500"/>
    <w:rsid w:val="009026A7"/>
    <w:rsid w:val="009027CE"/>
    <w:rsid w:val="009029CA"/>
    <w:rsid w:val="0090302D"/>
    <w:rsid w:val="00904D2C"/>
    <w:rsid w:val="00904DD6"/>
    <w:rsid w:val="009068D0"/>
    <w:rsid w:val="009107A7"/>
    <w:rsid w:val="0091178E"/>
    <w:rsid w:val="00912387"/>
    <w:rsid w:val="00915098"/>
    <w:rsid w:val="00917FA1"/>
    <w:rsid w:val="009202A9"/>
    <w:rsid w:val="00922462"/>
    <w:rsid w:val="00923FFC"/>
    <w:rsid w:val="00924A12"/>
    <w:rsid w:val="00926586"/>
    <w:rsid w:val="00926C57"/>
    <w:rsid w:val="00930D62"/>
    <w:rsid w:val="00932548"/>
    <w:rsid w:val="009354D3"/>
    <w:rsid w:val="00941C39"/>
    <w:rsid w:val="00941F56"/>
    <w:rsid w:val="00942484"/>
    <w:rsid w:val="00943697"/>
    <w:rsid w:val="0094579E"/>
    <w:rsid w:val="00951D71"/>
    <w:rsid w:val="00952A10"/>
    <w:rsid w:val="0095373E"/>
    <w:rsid w:val="00953907"/>
    <w:rsid w:val="00953BC7"/>
    <w:rsid w:val="00955D75"/>
    <w:rsid w:val="00957781"/>
    <w:rsid w:val="0096290D"/>
    <w:rsid w:val="00962958"/>
    <w:rsid w:val="009643BA"/>
    <w:rsid w:val="009706B1"/>
    <w:rsid w:val="00972207"/>
    <w:rsid w:val="009739A1"/>
    <w:rsid w:val="00974426"/>
    <w:rsid w:val="009760B8"/>
    <w:rsid w:val="00976C34"/>
    <w:rsid w:val="0097703D"/>
    <w:rsid w:val="009875DF"/>
    <w:rsid w:val="0099019E"/>
    <w:rsid w:val="009917AE"/>
    <w:rsid w:val="00993A50"/>
    <w:rsid w:val="009942E7"/>
    <w:rsid w:val="00995395"/>
    <w:rsid w:val="00996EF7"/>
    <w:rsid w:val="009A45E7"/>
    <w:rsid w:val="009A726F"/>
    <w:rsid w:val="009B1712"/>
    <w:rsid w:val="009B2793"/>
    <w:rsid w:val="009C0447"/>
    <w:rsid w:val="009C35CF"/>
    <w:rsid w:val="009D13DD"/>
    <w:rsid w:val="009D182C"/>
    <w:rsid w:val="009D1EDE"/>
    <w:rsid w:val="009D2330"/>
    <w:rsid w:val="009D2C14"/>
    <w:rsid w:val="009D4580"/>
    <w:rsid w:val="009D6D23"/>
    <w:rsid w:val="009E4018"/>
    <w:rsid w:val="009F136E"/>
    <w:rsid w:val="009F2775"/>
    <w:rsid w:val="009F7D5C"/>
    <w:rsid w:val="00A00E80"/>
    <w:rsid w:val="00A00F3A"/>
    <w:rsid w:val="00A015C0"/>
    <w:rsid w:val="00A02416"/>
    <w:rsid w:val="00A07F79"/>
    <w:rsid w:val="00A11DF6"/>
    <w:rsid w:val="00A14046"/>
    <w:rsid w:val="00A144E5"/>
    <w:rsid w:val="00A1500F"/>
    <w:rsid w:val="00A177D5"/>
    <w:rsid w:val="00A20F53"/>
    <w:rsid w:val="00A22017"/>
    <w:rsid w:val="00A22489"/>
    <w:rsid w:val="00A22E2E"/>
    <w:rsid w:val="00A27121"/>
    <w:rsid w:val="00A27432"/>
    <w:rsid w:val="00A30355"/>
    <w:rsid w:val="00A30B9A"/>
    <w:rsid w:val="00A30EF0"/>
    <w:rsid w:val="00A3162D"/>
    <w:rsid w:val="00A333D4"/>
    <w:rsid w:val="00A35DD4"/>
    <w:rsid w:val="00A36480"/>
    <w:rsid w:val="00A36C5B"/>
    <w:rsid w:val="00A40132"/>
    <w:rsid w:val="00A407B0"/>
    <w:rsid w:val="00A45CD0"/>
    <w:rsid w:val="00A46269"/>
    <w:rsid w:val="00A47553"/>
    <w:rsid w:val="00A5011C"/>
    <w:rsid w:val="00A50717"/>
    <w:rsid w:val="00A52B75"/>
    <w:rsid w:val="00A55E5F"/>
    <w:rsid w:val="00A644F1"/>
    <w:rsid w:val="00A65CD0"/>
    <w:rsid w:val="00A65FBE"/>
    <w:rsid w:val="00A66A79"/>
    <w:rsid w:val="00A7118D"/>
    <w:rsid w:val="00A73690"/>
    <w:rsid w:val="00A772B9"/>
    <w:rsid w:val="00A779E1"/>
    <w:rsid w:val="00A8341B"/>
    <w:rsid w:val="00A85633"/>
    <w:rsid w:val="00A86AA1"/>
    <w:rsid w:val="00A8731F"/>
    <w:rsid w:val="00A8793F"/>
    <w:rsid w:val="00A90043"/>
    <w:rsid w:val="00A93E02"/>
    <w:rsid w:val="00A94231"/>
    <w:rsid w:val="00A94715"/>
    <w:rsid w:val="00A9518D"/>
    <w:rsid w:val="00A9560F"/>
    <w:rsid w:val="00A95FD2"/>
    <w:rsid w:val="00AA0E41"/>
    <w:rsid w:val="00AA1772"/>
    <w:rsid w:val="00AA3423"/>
    <w:rsid w:val="00AA79AC"/>
    <w:rsid w:val="00AB1ED4"/>
    <w:rsid w:val="00AC0F5F"/>
    <w:rsid w:val="00AC15D8"/>
    <w:rsid w:val="00AC1AE7"/>
    <w:rsid w:val="00AC306B"/>
    <w:rsid w:val="00AD542D"/>
    <w:rsid w:val="00AD58D2"/>
    <w:rsid w:val="00AE6E73"/>
    <w:rsid w:val="00AF22CF"/>
    <w:rsid w:val="00AF2DA3"/>
    <w:rsid w:val="00AF3051"/>
    <w:rsid w:val="00AF4BD4"/>
    <w:rsid w:val="00AF53DD"/>
    <w:rsid w:val="00B02621"/>
    <w:rsid w:val="00B04546"/>
    <w:rsid w:val="00B048D6"/>
    <w:rsid w:val="00B052D4"/>
    <w:rsid w:val="00B063EB"/>
    <w:rsid w:val="00B07A9C"/>
    <w:rsid w:val="00B110AC"/>
    <w:rsid w:val="00B13FE2"/>
    <w:rsid w:val="00B210BB"/>
    <w:rsid w:val="00B21F70"/>
    <w:rsid w:val="00B26F96"/>
    <w:rsid w:val="00B302DA"/>
    <w:rsid w:val="00B307D4"/>
    <w:rsid w:val="00B30F88"/>
    <w:rsid w:val="00B34585"/>
    <w:rsid w:val="00B35874"/>
    <w:rsid w:val="00B368AB"/>
    <w:rsid w:val="00B373AC"/>
    <w:rsid w:val="00B409A1"/>
    <w:rsid w:val="00B51709"/>
    <w:rsid w:val="00B5370F"/>
    <w:rsid w:val="00B54952"/>
    <w:rsid w:val="00B557E9"/>
    <w:rsid w:val="00B6028A"/>
    <w:rsid w:val="00B62386"/>
    <w:rsid w:val="00B6311D"/>
    <w:rsid w:val="00B65634"/>
    <w:rsid w:val="00B661BD"/>
    <w:rsid w:val="00B66667"/>
    <w:rsid w:val="00B667BF"/>
    <w:rsid w:val="00B673A4"/>
    <w:rsid w:val="00B72928"/>
    <w:rsid w:val="00B72CC2"/>
    <w:rsid w:val="00B74A1E"/>
    <w:rsid w:val="00B8065B"/>
    <w:rsid w:val="00B82824"/>
    <w:rsid w:val="00B832A3"/>
    <w:rsid w:val="00B86924"/>
    <w:rsid w:val="00B91CB7"/>
    <w:rsid w:val="00B9222D"/>
    <w:rsid w:val="00B947E4"/>
    <w:rsid w:val="00B95585"/>
    <w:rsid w:val="00BA0B53"/>
    <w:rsid w:val="00BA3D51"/>
    <w:rsid w:val="00BA494E"/>
    <w:rsid w:val="00BA6A2E"/>
    <w:rsid w:val="00BB2B6E"/>
    <w:rsid w:val="00BB4342"/>
    <w:rsid w:val="00BB49D4"/>
    <w:rsid w:val="00BB7104"/>
    <w:rsid w:val="00BC1242"/>
    <w:rsid w:val="00BC205E"/>
    <w:rsid w:val="00BC40A0"/>
    <w:rsid w:val="00BC416C"/>
    <w:rsid w:val="00BC4E60"/>
    <w:rsid w:val="00BC5E49"/>
    <w:rsid w:val="00BC6CB9"/>
    <w:rsid w:val="00BE2BD5"/>
    <w:rsid w:val="00BE4AE4"/>
    <w:rsid w:val="00BE4C2E"/>
    <w:rsid w:val="00BE72C8"/>
    <w:rsid w:val="00BF1570"/>
    <w:rsid w:val="00BF2609"/>
    <w:rsid w:val="00BF461E"/>
    <w:rsid w:val="00BF48AE"/>
    <w:rsid w:val="00BF5D57"/>
    <w:rsid w:val="00BF61F1"/>
    <w:rsid w:val="00BF7383"/>
    <w:rsid w:val="00C01AF3"/>
    <w:rsid w:val="00C022AE"/>
    <w:rsid w:val="00C035FD"/>
    <w:rsid w:val="00C04036"/>
    <w:rsid w:val="00C0471D"/>
    <w:rsid w:val="00C073B6"/>
    <w:rsid w:val="00C10377"/>
    <w:rsid w:val="00C11056"/>
    <w:rsid w:val="00C112EC"/>
    <w:rsid w:val="00C11348"/>
    <w:rsid w:val="00C1285F"/>
    <w:rsid w:val="00C14654"/>
    <w:rsid w:val="00C14F63"/>
    <w:rsid w:val="00C159A9"/>
    <w:rsid w:val="00C159AF"/>
    <w:rsid w:val="00C16EA1"/>
    <w:rsid w:val="00C17653"/>
    <w:rsid w:val="00C22CA3"/>
    <w:rsid w:val="00C22EFD"/>
    <w:rsid w:val="00C2463E"/>
    <w:rsid w:val="00C24EB5"/>
    <w:rsid w:val="00C2716B"/>
    <w:rsid w:val="00C27860"/>
    <w:rsid w:val="00C30978"/>
    <w:rsid w:val="00C3274A"/>
    <w:rsid w:val="00C353A5"/>
    <w:rsid w:val="00C440A3"/>
    <w:rsid w:val="00C453F3"/>
    <w:rsid w:val="00C502F2"/>
    <w:rsid w:val="00C52280"/>
    <w:rsid w:val="00C52D4B"/>
    <w:rsid w:val="00C53459"/>
    <w:rsid w:val="00C53773"/>
    <w:rsid w:val="00C544A9"/>
    <w:rsid w:val="00C57182"/>
    <w:rsid w:val="00C663A4"/>
    <w:rsid w:val="00C67AF2"/>
    <w:rsid w:val="00C714EE"/>
    <w:rsid w:val="00C82118"/>
    <w:rsid w:val="00C831F4"/>
    <w:rsid w:val="00C85FDC"/>
    <w:rsid w:val="00C87F77"/>
    <w:rsid w:val="00C91F6D"/>
    <w:rsid w:val="00C93D75"/>
    <w:rsid w:val="00C94B96"/>
    <w:rsid w:val="00C95EE0"/>
    <w:rsid w:val="00CA0BB0"/>
    <w:rsid w:val="00CA0CE6"/>
    <w:rsid w:val="00CA16F6"/>
    <w:rsid w:val="00CA2DD7"/>
    <w:rsid w:val="00CA4AD3"/>
    <w:rsid w:val="00CA5665"/>
    <w:rsid w:val="00CA6294"/>
    <w:rsid w:val="00CB0B3D"/>
    <w:rsid w:val="00CB1918"/>
    <w:rsid w:val="00CB3097"/>
    <w:rsid w:val="00CB3813"/>
    <w:rsid w:val="00CB63CC"/>
    <w:rsid w:val="00CB6B5E"/>
    <w:rsid w:val="00CB7C4D"/>
    <w:rsid w:val="00CC0DF7"/>
    <w:rsid w:val="00CC1640"/>
    <w:rsid w:val="00CC2414"/>
    <w:rsid w:val="00CC3DEF"/>
    <w:rsid w:val="00CC3F80"/>
    <w:rsid w:val="00CD284C"/>
    <w:rsid w:val="00CD377B"/>
    <w:rsid w:val="00CD59F7"/>
    <w:rsid w:val="00CE0A7A"/>
    <w:rsid w:val="00CE4172"/>
    <w:rsid w:val="00CE531A"/>
    <w:rsid w:val="00CE5986"/>
    <w:rsid w:val="00CE6AE0"/>
    <w:rsid w:val="00CE7E9F"/>
    <w:rsid w:val="00CF149A"/>
    <w:rsid w:val="00CF1F14"/>
    <w:rsid w:val="00CF2DBC"/>
    <w:rsid w:val="00CF31CA"/>
    <w:rsid w:val="00CF48B6"/>
    <w:rsid w:val="00CF73BE"/>
    <w:rsid w:val="00D004E6"/>
    <w:rsid w:val="00D01374"/>
    <w:rsid w:val="00D03CF2"/>
    <w:rsid w:val="00D05EB7"/>
    <w:rsid w:val="00D1017C"/>
    <w:rsid w:val="00D101A5"/>
    <w:rsid w:val="00D1053B"/>
    <w:rsid w:val="00D11143"/>
    <w:rsid w:val="00D11BD2"/>
    <w:rsid w:val="00D13B1E"/>
    <w:rsid w:val="00D24588"/>
    <w:rsid w:val="00D27282"/>
    <w:rsid w:val="00D27679"/>
    <w:rsid w:val="00D32B17"/>
    <w:rsid w:val="00D40DBF"/>
    <w:rsid w:val="00D423B4"/>
    <w:rsid w:val="00D42453"/>
    <w:rsid w:val="00D47E45"/>
    <w:rsid w:val="00D501B0"/>
    <w:rsid w:val="00D51250"/>
    <w:rsid w:val="00D5202F"/>
    <w:rsid w:val="00D566E0"/>
    <w:rsid w:val="00D57421"/>
    <w:rsid w:val="00D57F14"/>
    <w:rsid w:val="00D60FFF"/>
    <w:rsid w:val="00D62FCA"/>
    <w:rsid w:val="00D64AB5"/>
    <w:rsid w:val="00D64DA7"/>
    <w:rsid w:val="00D705D9"/>
    <w:rsid w:val="00D72CFE"/>
    <w:rsid w:val="00D740C7"/>
    <w:rsid w:val="00D8073A"/>
    <w:rsid w:val="00D80944"/>
    <w:rsid w:val="00D83691"/>
    <w:rsid w:val="00D86876"/>
    <w:rsid w:val="00D8773F"/>
    <w:rsid w:val="00D903F8"/>
    <w:rsid w:val="00D91C2D"/>
    <w:rsid w:val="00D929D2"/>
    <w:rsid w:val="00D92AE5"/>
    <w:rsid w:val="00D96CFC"/>
    <w:rsid w:val="00D97977"/>
    <w:rsid w:val="00DA1A4D"/>
    <w:rsid w:val="00DA4F62"/>
    <w:rsid w:val="00DA62B8"/>
    <w:rsid w:val="00DA73BD"/>
    <w:rsid w:val="00DB1932"/>
    <w:rsid w:val="00DB2BF2"/>
    <w:rsid w:val="00DB4462"/>
    <w:rsid w:val="00DB4FAD"/>
    <w:rsid w:val="00DB54EE"/>
    <w:rsid w:val="00DB63C8"/>
    <w:rsid w:val="00DB6E60"/>
    <w:rsid w:val="00DC2A76"/>
    <w:rsid w:val="00DC6DC6"/>
    <w:rsid w:val="00DC783A"/>
    <w:rsid w:val="00DC792E"/>
    <w:rsid w:val="00DC79F2"/>
    <w:rsid w:val="00DD0983"/>
    <w:rsid w:val="00DD167F"/>
    <w:rsid w:val="00DD62C7"/>
    <w:rsid w:val="00DD72C3"/>
    <w:rsid w:val="00DE4459"/>
    <w:rsid w:val="00DF0087"/>
    <w:rsid w:val="00DF2AF8"/>
    <w:rsid w:val="00DF3DB4"/>
    <w:rsid w:val="00DF4428"/>
    <w:rsid w:val="00E00C70"/>
    <w:rsid w:val="00E01DE1"/>
    <w:rsid w:val="00E03F8F"/>
    <w:rsid w:val="00E048D3"/>
    <w:rsid w:val="00E05F3D"/>
    <w:rsid w:val="00E07002"/>
    <w:rsid w:val="00E107D6"/>
    <w:rsid w:val="00E10E34"/>
    <w:rsid w:val="00E1104A"/>
    <w:rsid w:val="00E137D9"/>
    <w:rsid w:val="00E14611"/>
    <w:rsid w:val="00E223A0"/>
    <w:rsid w:val="00E224B6"/>
    <w:rsid w:val="00E26CB7"/>
    <w:rsid w:val="00E30D9D"/>
    <w:rsid w:val="00E32F5A"/>
    <w:rsid w:val="00E335F9"/>
    <w:rsid w:val="00E33B56"/>
    <w:rsid w:val="00E3471E"/>
    <w:rsid w:val="00E367CD"/>
    <w:rsid w:val="00E36D4D"/>
    <w:rsid w:val="00E40DD4"/>
    <w:rsid w:val="00E431E1"/>
    <w:rsid w:val="00E43346"/>
    <w:rsid w:val="00E436DE"/>
    <w:rsid w:val="00E44A5D"/>
    <w:rsid w:val="00E44D6D"/>
    <w:rsid w:val="00E476F7"/>
    <w:rsid w:val="00E5253D"/>
    <w:rsid w:val="00E52C78"/>
    <w:rsid w:val="00E535FC"/>
    <w:rsid w:val="00E54945"/>
    <w:rsid w:val="00E559B9"/>
    <w:rsid w:val="00E56A7B"/>
    <w:rsid w:val="00E61B1F"/>
    <w:rsid w:val="00E6288A"/>
    <w:rsid w:val="00E63833"/>
    <w:rsid w:val="00E64CB6"/>
    <w:rsid w:val="00E65216"/>
    <w:rsid w:val="00E67E28"/>
    <w:rsid w:val="00E706AC"/>
    <w:rsid w:val="00E71DD9"/>
    <w:rsid w:val="00E722CF"/>
    <w:rsid w:val="00E72896"/>
    <w:rsid w:val="00E72DC6"/>
    <w:rsid w:val="00E7365B"/>
    <w:rsid w:val="00E74380"/>
    <w:rsid w:val="00E748E9"/>
    <w:rsid w:val="00E749E1"/>
    <w:rsid w:val="00E751F0"/>
    <w:rsid w:val="00E75584"/>
    <w:rsid w:val="00E75C91"/>
    <w:rsid w:val="00E768BA"/>
    <w:rsid w:val="00E8005A"/>
    <w:rsid w:val="00E84388"/>
    <w:rsid w:val="00E86276"/>
    <w:rsid w:val="00E90D70"/>
    <w:rsid w:val="00E92735"/>
    <w:rsid w:val="00E94863"/>
    <w:rsid w:val="00E9584F"/>
    <w:rsid w:val="00E971B3"/>
    <w:rsid w:val="00EA0B2D"/>
    <w:rsid w:val="00EA3EC6"/>
    <w:rsid w:val="00EA50D4"/>
    <w:rsid w:val="00EB3D9B"/>
    <w:rsid w:val="00EB4916"/>
    <w:rsid w:val="00EB5086"/>
    <w:rsid w:val="00EB5390"/>
    <w:rsid w:val="00EB6846"/>
    <w:rsid w:val="00EC0AF4"/>
    <w:rsid w:val="00EC2291"/>
    <w:rsid w:val="00EC298D"/>
    <w:rsid w:val="00EC6F3A"/>
    <w:rsid w:val="00ED16C6"/>
    <w:rsid w:val="00ED58E6"/>
    <w:rsid w:val="00EF133F"/>
    <w:rsid w:val="00EF1AB8"/>
    <w:rsid w:val="00EF27B6"/>
    <w:rsid w:val="00EF2E03"/>
    <w:rsid w:val="00EF573F"/>
    <w:rsid w:val="00EF6B77"/>
    <w:rsid w:val="00EF6E80"/>
    <w:rsid w:val="00EF6F0D"/>
    <w:rsid w:val="00EF7675"/>
    <w:rsid w:val="00EF7D57"/>
    <w:rsid w:val="00F00DEA"/>
    <w:rsid w:val="00F034A8"/>
    <w:rsid w:val="00F05100"/>
    <w:rsid w:val="00F06CE4"/>
    <w:rsid w:val="00F06D92"/>
    <w:rsid w:val="00F11D71"/>
    <w:rsid w:val="00F145B7"/>
    <w:rsid w:val="00F1589C"/>
    <w:rsid w:val="00F20130"/>
    <w:rsid w:val="00F20493"/>
    <w:rsid w:val="00F21530"/>
    <w:rsid w:val="00F216CC"/>
    <w:rsid w:val="00F2245C"/>
    <w:rsid w:val="00F2492C"/>
    <w:rsid w:val="00F323C3"/>
    <w:rsid w:val="00F35633"/>
    <w:rsid w:val="00F35954"/>
    <w:rsid w:val="00F4033A"/>
    <w:rsid w:val="00F42336"/>
    <w:rsid w:val="00F42BC7"/>
    <w:rsid w:val="00F461D8"/>
    <w:rsid w:val="00F46B8B"/>
    <w:rsid w:val="00F475B2"/>
    <w:rsid w:val="00F47A34"/>
    <w:rsid w:val="00F50B8B"/>
    <w:rsid w:val="00F51656"/>
    <w:rsid w:val="00F518A8"/>
    <w:rsid w:val="00F556FA"/>
    <w:rsid w:val="00F574B7"/>
    <w:rsid w:val="00F576EB"/>
    <w:rsid w:val="00F60676"/>
    <w:rsid w:val="00F657CC"/>
    <w:rsid w:val="00F7033B"/>
    <w:rsid w:val="00F73B37"/>
    <w:rsid w:val="00F73EFA"/>
    <w:rsid w:val="00F75E13"/>
    <w:rsid w:val="00F76E13"/>
    <w:rsid w:val="00F77453"/>
    <w:rsid w:val="00F77712"/>
    <w:rsid w:val="00F77A38"/>
    <w:rsid w:val="00F77E5B"/>
    <w:rsid w:val="00F805AF"/>
    <w:rsid w:val="00F814DD"/>
    <w:rsid w:val="00F81A7F"/>
    <w:rsid w:val="00F84F99"/>
    <w:rsid w:val="00F85728"/>
    <w:rsid w:val="00F85DF3"/>
    <w:rsid w:val="00F86904"/>
    <w:rsid w:val="00F87FDA"/>
    <w:rsid w:val="00F91FA5"/>
    <w:rsid w:val="00F9211F"/>
    <w:rsid w:val="00F9425D"/>
    <w:rsid w:val="00FA3C9C"/>
    <w:rsid w:val="00FA6104"/>
    <w:rsid w:val="00FA6832"/>
    <w:rsid w:val="00FA6B61"/>
    <w:rsid w:val="00FB3BFA"/>
    <w:rsid w:val="00FC0B7A"/>
    <w:rsid w:val="00FC462D"/>
    <w:rsid w:val="00FC5B93"/>
    <w:rsid w:val="00FC6060"/>
    <w:rsid w:val="00FD1314"/>
    <w:rsid w:val="00FD25E6"/>
    <w:rsid w:val="00FD40D9"/>
    <w:rsid w:val="00FD4589"/>
    <w:rsid w:val="00FD7404"/>
    <w:rsid w:val="00FE149A"/>
    <w:rsid w:val="00FE1928"/>
    <w:rsid w:val="00FE2BAB"/>
    <w:rsid w:val="00FE387C"/>
    <w:rsid w:val="00FE4E81"/>
    <w:rsid w:val="00FE64CC"/>
    <w:rsid w:val="00FF01E0"/>
    <w:rsid w:val="00FF3631"/>
    <w:rsid w:val="00FF6AAE"/>
    <w:rsid w:val="00FF6B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5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5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3874">
      <w:bodyDiv w:val="1"/>
      <w:marLeft w:val="0"/>
      <w:marRight w:val="0"/>
      <w:marTop w:val="0"/>
      <w:marBottom w:val="0"/>
      <w:divBdr>
        <w:top w:val="none" w:sz="0" w:space="0" w:color="auto"/>
        <w:left w:val="none" w:sz="0" w:space="0" w:color="auto"/>
        <w:bottom w:val="none" w:sz="0" w:space="0" w:color="auto"/>
        <w:right w:val="none" w:sz="0" w:space="0" w:color="auto"/>
      </w:divBdr>
    </w:div>
    <w:div w:id="1593275076">
      <w:bodyDiv w:val="1"/>
      <w:marLeft w:val="0"/>
      <w:marRight w:val="0"/>
      <w:marTop w:val="0"/>
      <w:marBottom w:val="0"/>
      <w:divBdr>
        <w:top w:val="none" w:sz="0" w:space="0" w:color="auto"/>
        <w:left w:val="none" w:sz="0" w:space="0" w:color="auto"/>
        <w:bottom w:val="none" w:sz="0" w:space="0" w:color="auto"/>
        <w:right w:val="none" w:sz="0" w:space="0" w:color="auto"/>
      </w:divBdr>
    </w:div>
    <w:div w:id="1775176415">
      <w:bodyDiv w:val="1"/>
      <w:marLeft w:val="0"/>
      <w:marRight w:val="0"/>
      <w:marTop w:val="0"/>
      <w:marBottom w:val="0"/>
      <w:divBdr>
        <w:top w:val="none" w:sz="0" w:space="0" w:color="auto"/>
        <w:left w:val="none" w:sz="0" w:space="0" w:color="auto"/>
        <w:bottom w:val="none" w:sz="0" w:space="0" w:color="auto"/>
        <w:right w:val="none" w:sz="0" w:space="0" w:color="auto"/>
      </w:divBdr>
    </w:div>
    <w:div w:id="194599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5674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SST</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SCHEERLINCK Frederik</cp:lastModifiedBy>
  <cp:revision>2</cp:revision>
  <dcterms:created xsi:type="dcterms:W3CDTF">2018-10-12T13:15:00Z</dcterms:created>
  <dcterms:modified xsi:type="dcterms:W3CDTF">2018-10-12T13:15:00Z</dcterms:modified>
</cp:coreProperties>
</file>