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012" w:rsidRPr="00110633" w:rsidRDefault="00575012">
      <w:pPr>
        <w:rPr>
          <w:u w:val="single"/>
          <w:lang w:val="fr-BE"/>
        </w:rPr>
      </w:pPr>
      <w:bookmarkStart w:id="0" w:name="_GoBack"/>
      <w:bookmarkEnd w:id="0"/>
    </w:p>
    <w:p w:rsidR="00575012" w:rsidRPr="00110633" w:rsidRDefault="0091762A">
      <w:pPr>
        <w:rPr>
          <w:u w:val="single"/>
          <w:lang w:val="fr-BE"/>
        </w:rPr>
      </w:pPr>
      <w:r w:rsidRPr="00110633">
        <w:rPr>
          <w:u w:val="single"/>
          <w:lang w:val="fr-BE"/>
        </w:rPr>
        <w:t>CP 116: Projets supplémentaires en faveur des jeunes 2018-2019</w:t>
      </w:r>
    </w:p>
    <w:tbl>
      <w:tblPr>
        <w:tblStyle w:val="Tabelraster"/>
        <w:tblpPr w:leftFromText="141" w:rightFromText="141" w:vertAnchor="page" w:horzAnchor="margin" w:tblpXSpec="center" w:tblpY="2719"/>
        <w:tblW w:w="16106" w:type="dxa"/>
        <w:tblLayout w:type="fixed"/>
        <w:tblLook w:val="04A0" w:firstRow="1" w:lastRow="0" w:firstColumn="1" w:lastColumn="0" w:noHBand="0" w:noVBand="1"/>
      </w:tblPr>
      <w:tblGrid>
        <w:gridCol w:w="534"/>
        <w:gridCol w:w="2976"/>
        <w:gridCol w:w="3436"/>
        <w:gridCol w:w="1384"/>
        <w:gridCol w:w="1559"/>
        <w:gridCol w:w="2079"/>
        <w:gridCol w:w="2126"/>
        <w:gridCol w:w="2012"/>
      </w:tblGrid>
      <w:tr w:rsidR="002C707A" w:rsidRPr="00110633" w:rsidTr="004D0613">
        <w:trPr>
          <w:trHeight w:val="338"/>
        </w:trPr>
        <w:tc>
          <w:tcPr>
            <w:tcW w:w="534" w:type="dxa"/>
            <w:vMerge w:val="restart"/>
            <w:tcBorders>
              <w:top w:val="nil"/>
              <w:left w:val="nil"/>
            </w:tcBorders>
          </w:tcPr>
          <w:p w:rsidR="002C707A" w:rsidRPr="00110633" w:rsidRDefault="002C707A" w:rsidP="002C707A">
            <w:pPr>
              <w:rPr>
                <w:lang w:val="fr-BE"/>
              </w:rPr>
            </w:pPr>
          </w:p>
        </w:tc>
        <w:tc>
          <w:tcPr>
            <w:tcW w:w="2976" w:type="dxa"/>
            <w:vMerge w:val="restart"/>
            <w:shd w:val="clear" w:color="auto" w:fill="B8CCE4" w:themeFill="accent1" w:themeFillTint="66"/>
            <w:vAlign w:val="center"/>
          </w:tcPr>
          <w:p w:rsidR="002C707A" w:rsidRPr="00110633" w:rsidRDefault="002C707A" w:rsidP="002C707A">
            <w:pPr>
              <w:jc w:val="center"/>
              <w:rPr>
                <w:lang w:val="fr-BE"/>
              </w:rPr>
            </w:pPr>
            <w:r w:rsidRPr="00110633">
              <w:rPr>
                <w:lang w:val="fr-BE"/>
              </w:rPr>
              <w:t>Intitulé de l'action</w:t>
            </w:r>
          </w:p>
        </w:tc>
        <w:tc>
          <w:tcPr>
            <w:tcW w:w="3436" w:type="dxa"/>
            <w:vMerge w:val="restart"/>
            <w:shd w:val="clear" w:color="auto" w:fill="B8CCE4" w:themeFill="accent1" w:themeFillTint="66"/>
            <w:vAlign w:val="center"/>
          </w:tcPr>
          <w:p w:rsidR="002C707A" w:rsidRPr="00110633" w:rsidRDefault="002C707A" w:rsidP="002C707A">
            <w:pPr>
              <w:jc w:val="center"/>
              <w:rPr>
                <w:lang w:val="fr-BE"/>
              </w:rPr>
            </w:pPr>
            <w:r w:rsidRPr="00110633">
              <w:rPr>
                <w:lang w:val="fr-BE"/>
              </w:rPr>
              <w:t>Objectifs poursuivis</w:t>
            </w:r>
          </w:p>
        </w:tc>
        <w:tc>
          <w:tcPr>
            <w:tcW w:w="1384" w:type="dxa"/>
            <w:vMerge w:val="restart"/>
            <w:shd w:val="clear" w:color="auto" w:fill="B8CCE4" w:themeFill="accent1" w:themeFillTint="66"/>
            <w:vAlign w:val="center"/>
          </w:tcPr>
          <w:p w:rsidR="002C707A" w:rsidRPr="00110633" w:rsidRDefault="002C707A" w:rsidP="002C707A">
            <w:pPr>
              <w:jc w:val="center"/>
              <w:rPr>
                <w:lang w:val="fr-BE"/>
              </w:rPr>
            </w:pPr>
            <w:r w:rsidRPr="00110633">
              <w:rPr>
                <w:lang w:val="fr-BE"/>
              </w:rPr>
              <w:t>Collaboration (s) avec… (d’autres organisations)</w:t>
            </w:r>
          </w:p>
        </w:tc>
        <w:tc>
          <w:tcPr>
            <w:tcW w:w="1559" w:type="dxa"/>
            <w:vMerge w:val="restart"/>
            <w:shd w:val="clear" w:color="auto" w:fill="B8CCE4" w:themeFill="accent1" w:themeFillTint="66"/>
            <w:vAlign w:val="center"/>
          </w:tcPr>
          <w:p w:rsidR="002C707A" w:rsidRPr="00110633" w:rsidRDefault="002C707A" w:rsidP="002C707A">
            <w:pPr>
              <w:jc w:val="center"/>
              <w:rPr>
                <w:lang w:val="fr-BE"/>
              </w:rPr>
            </w:pPr>
            <w:r w:rsidRPr="00110633">
              <w:rPr>
                <w:lang w:val="fr-BE"/>
              </w:rPr>
              <w:t>Groupe cible</w:t>
            </w:r>
          </w:p>
        </w:tc>
        <w:tc>
          <w:tcPr>
            <w:tcW w:w="2079" w:type="dxa"/>
            <w:vMerge w:val="restart"/>
            <w:shd w:val="clear" w:color="auto" w:fill="B8CCE4" w:themeFill="accent1" w:themeFillTint="66"/>
            <w:vAlign w:val="center"/>
          </w:tcPr>
          <w:p w:rsidR="002C707A" w:rsidRPr="00110633" w:rsidRDefault="002C707A" w:rsidP="002C707A">
            <w:pPr>
              <w:jc w:val="center"/>
              <w:rPr>
                <w:lang w:val="fr-BE"/>
              </w:rPr>
            </w:pPr>
            <w:r w:rsidRPr="00110633">
              <w:rPr>
                <w:lang w:val="fr-BE"/>
              </w:rPr>
              <w:t>Nombre de participants envisagé</w:t>
            </w:r>
          </w:p>
        </w:tc>
        <w:tc>
          <w:tcPr>
            <w:tcW w:w="4138" w:type="dxa"/>
            <w:gridSpan w:val="2"/>
            <w:shd w:val="clear" w:color="auto" w:fill="B8CCE4" w:themeFill="accent1" w:themeFillTint="66"/>
            <w:vAlign w:val="center"/>
          </w:tcPr>
          <w:p w:rsidR="002C707A" w:rsidRPr="00110633" w:rsidRDefault="002C707A" w:rsidP="002C707A">
            <w:pPr>
              <w:jc w:val="center"/>
              <w:rPr>
                <w:lang w:val="fr-BE"/>
              </w:rPr>
            </w:pPr>
            <w:r w:rsidRPr="00110633">
              <w:rPr>
                <w:lang w:val="fr-BE"/>
              </w:rPr>
              <w:t>Coût de l'action</w:t>
            </w:r>
          </w:p>
        </w:tc>
      </w:tr>
      <w:tr w:rsidR="002C707A" w:rsidRPr="00110633" w:rsidTr="004D0613">
        <w:trPr>
          <w:trHeight w:val="338"/>
        </w:trPr>
        <w:tc>
          <w:tcPr>
            <w:tcW w:w="534" w:type="dxa"/>
            <w:vMerge/>
            <w:tcBorders>
              <w:left w:val="nil"/>
            </w:tcBorders>
          </w:tcPr>
          <w:p w:rsidR="002C707A" w:rsidRPr="00110633" w:rsidRDefault="002C707A" w:rsidP="002C707A">
            <w:pPr>
              <w:rPr>
                <w:lang w:val="fr-BE"/>
              </w:rPr>
            </w:pPr>
          </w:p>
        </w:tc>
        <w:tc>
          <w:tcPr>
            <w:tcW w:w="2976" w:type="dxa"/>
            <w:vMerge/>
            <w:shd w:val="clear" w:color="auto" w:fill="B8CCE4" w:themeFill="accent1" w:themeFillTint="66"/>
            <w:vAlign w:val="center"/>
          </w:tcPr>
          <w:p w:rsidR="002C707A" w:rsidRPr="00110633" w:rsidRDefault="002C707A" w:rsidP="002C707A">
            <w:pPr>
              <w:jc w:val="center"/>
              <w:rPr>
                <w:lang w:val="fr-BE"/>
              </w:rPr>
            </w:pPr>
          </w:p>
        </w:tc>
        <w:tc>
          <w:tcPr>
            <w:tcW w:w="3436" w:type="dxa"/>
            <w:vMerge/>
            <w:shd w:val="clear" w:color="auto" w:fill="B8CCE4" w:themeFill="accent1" w:themeFillTint="66"/>
            <w:vAlign w:val="center"/>
          </w:tcPr>
          <w:p w:rsidR="002C707A" w:rsidRPr="00110633" w:rsidRDefault="002C707A" w:rsidP="002C707A">
            <w:pPr>
              <w:jc w:val="center"/>
              <w:rPr>
                <w:lang w:val="fr-BE"/>
              </w:rPr>
            </w:pPr>
          </w:p>
        </w:tc>
        <w:tc>
          <w:tcPr>
            <w:tcW w:w="1384" w:type="dxa"/>
            <w:vMerge/>
            <w:shd w:val="clear" w:color="auto" w:fill="B8CCE4" w:themeFill="accent1" w:themeFillTint="66"/>
            <w:vAlign w:val="center"/>
          </w:tcPr>
          <w:p w:rsidR="002C707A" w:rsidRPr="00110633" w:rsidRDefault="002C707A" w:rsidP="002C707A">
            <w:pPr>
              <w:jc w:val="center"/>
              <w:rPr>
                <w:lang w:val="fr-BE"/>
              </w:rPr>
            </w:pPr>
          </w:p>
        </w:tc>
        <w:tc>
          <w:tcPr>
            <w:tcW w:w="1559" w:type="dxa"/>
            <w:vMerge/>
            <w:shd w:val="clear" w:color="auto" w:fill="B8CCE4" w:themeFill="accent1" w:themeFillTint="66"/>
            <w:vAlign w:val="center"/>
          </w:tcPr>
          <w:p w:rsidR="002C707A" w:rsidRPr="00110633" w:rsidRDefault="002C707A" w:rsidP="002C707A">
            <w:pPr>
              <w:jc w:val="center"/>
              <w:rPr>
                <w:lang w:val="fr-BE"/>
              </w:rPr>
            </w:pPr>
          </w:p>
        </w:tc>
        <w:tc>
          <w:tcPr>
            <w:tcW w:w="2079" w:type="dxa"/>
            <w:vMerge/>
            <w:shd w:val="clear" w:color="auto" w:fill="B8CCE4" w:themeFill="accent1" w:themeFillTint="66"/>
            <w:vAlign w:val="center"/>
          </w:tcPr>
          <w:p w:rsidR="002C707A" w:rsidRPr="00110633" w:rsidRDefault="002C707A" w:rsidP="002C707A">
            <w:pPr>
              <w:jc w:val="center"/>
              <w:rPr>
                <w:lang w:val="fr-BE"/>
              </w:rPr>
            </w:pPr>
          </w:p>
        </w:tc>
        <w:tc>
          <w:tcPr>
            <w:tcW w:w="2126" w:type="dxa"/>
            <w:shd w:val="clear" w:color="auto" w:fill="B8CCE4" w:themeFill="accent1" w:themeFillTint="66"/>
            <w:vAlign w:val="center"/>
          </w:tcPr>
          <w:p w:rsidR="002C707A" w:rsidRPr="00110633" w:rsidRDefault="002C707A" w:rsidP="002C707A">
            <w:pPr>
              <w:jc w:val="center"/>
              <w:rPr>
                <w:lang w:val="fr-BE"/>
              </w:rPr>
            </w:pPr>
            <w:r w:rsidRPr="00110633">
              <w:rPr>
                <w:lang w:val="fr-BE"/>
              </w:rPr>
              <w:t>Moyens</w:t>
            </w:r>
            <w:r w:rsidR="00110633" w:rsidRPr="00110633">
              <w:rPr>
                <w:lang w:val="fr-BE"/>
              </w:rPr>
              <w:t xml:space="preserve"> du projet supplémentaire (&lt;ONEM</w:t>
            </w:r>
            <w:r w:rsidRPr="00110633">
              <w:rPr>
                <w:lang w:val="fr-BE"/>
              </w:rPr>
              <w:t>)</w:t>
            </w:r>
          </w:p>
        </w:tc>
        <w:tc>
          <w:tcPr>
            <w:tcW w:w="2012" w:type="dxa"/>
            <w:shd w:val="clear" w:color="auto" w:fill="B8CCE4" w:themeFill="accent1" w:themeFillTint="66"/>
            <w:vAlign w:val="center"/>
          </w:tcPr>
          <w:p w:rsidR="002C707A" w:rsidRPr="00110633" w:rsidRDefault="002C707A" w:rsidP="002C707A">
            <w:pPr>
              <w:jc w:val="center"/>
              <w:rPr>
                <w:lang w:val="fr-BE"/>
              </w:rPr>
            </w:pPr>
            <w:r w:rsidRPr="00110633">
              <w:rPr>
                <w:lang w:val="fr-BE"/>
              </w:rPr>
              <w:t>Moyens du secteur</w:t>
            </w:r>
          </w:p>
        </w:tc>
      </w:tr>
      <w:tr w:rsidR="004D0613" w:rsidRPr="00110633" w:rsidTr="004D0613">
        <w:trPr>
          <w:trHeight w:val="1230"/>
        </w:trPr>
        <w:tc>
          <w:tcPr>
            <w:tcW w:w="534" w:type="dxa"/>
          </w:tcPr>
          <w:p w:rsidR="004D0613" w:rsidRPr="00110633" w:rsidRDefault="004D0613" w:rsidP="002C707A">
            <w:pPr>
              <w:rPr>
                <w:lang w:val="fr-BE"/>
              </w:rPr>
            </w:pPr>
            <w:r w:rsidRPr="00110633">
              <w:rPr>
                <w:lang w:val="fr-BE"/>
              </w:rPr>
              <w:t>1</w:t>
            </w:r>
          </w:p>
        </w:tc>
        <w:tc>
          <w:tcPr>
            <w:tcW w:w="2976" w:type="dxa"/>
          </w:tcPr>
          <w:p w:rsidR="004D0613" w:rsidRPr="00110633" w:rsidRDefault="004D0613" w:rsidP="00743086">
            <w:pPr>
              <w:rPr>
                <w:sz w:val="20"/>
                <w:szCs w:val="20"/>
                <w:lang w:val="fr-BE"/>
              </w:rPr>
            </w:pPr>
            <w:r w:rsidRPr="00110633">
              <w:rPr>
                <w:sz w:val="20"/>
                <w:szCs w:val="20"/>
                <w:lang w:val="fr-BE"/>
              </w:rPr>
              <w:t xml:space="preserve">Amener l'offre d'emplois-tremplins aux jeunes demandeurs d'emploi.  </w:t>
            </w:r>
          </w:p>
          <w:p w:rsidR="004D0613" w:rsidRPr="00110633" w:rsidRDefault="004D0613" w:rsidP="002C707A">
            <w:pPr>
              <w:rPr>
                <w:lang w:val="fr-BE"/>
              </w:rPr>
            </w:pPr>
          </w:p>
        </w:tc>
        <w:tc>
          <w:tcPr>
            <w:tcW w:w="3436" w:type="dxa"/>
          </w:tcPr>
          <w:p w:rsidR="004D0613" w:rsidRPr="00110633" w:rsidRDefault="004D0613" w:rsidP="004D0613">
            <w:pPr>
              <w:rPr>
                <w:sz w:val="20"/>
                <w:szCs w:val="20"/>
                <w:lang w:val="fr-BE"/>
              </w:rPr>
            </w:pPr>
            <w:r w:rsidRPr="00110633">
              <w:rPr>
                <w:sz w:val="20"/>
                <w:szCs w:val="20"/>
                <w:lang w:val="fr-BE"/>
              </w:rPr>
              <w:t>- Remplir les emplois vacants de manière optimale via des emplois-tremplins.</w:t>
            </w:r>
          </w:p>
          <w:p w:rsidR="004D0613" w:rsidRPr="00110633" w:rsidRDefault="004D0613" w:rsidP="00743086">
            <w:pPr>
              <w:rPr>
                <w:sz w:val="20"/>
                <w:szCs w:val="20"/>
                <w:lang w:val="fr-BE"/>
              </w:rPr>
            </w:pPr>
          </w:p>
          <w:p w:rsidR="004D0613" w:rsidRPr="00110633" w:rsidRDefault="004D0613" w:rsidP="00743086">
            <w:pPr>
              <w:rPr>
                <w:sz w:val="20"/>
                <w:szCs w:val="20"/>
                <w:lang w:val="fr-BE"/>
              </w:rPr>
            </w:pPr>
            <w:r w:rsidRPr="00110633">
              <w:rPr>
                <w:sz w:val="20"/>
                <w:szCs w:val="20"/>
                <w:lang w:val="fr-BE"/>
              </w:rPr>
              <w:t xml:space="preserve">- Campagne active sur mesure pour les jeunes, spécifiquement pour ceux qui sont éloignés du marché du travail. </w:t>
            </w:r>
          </w:p>
          <w:p w:rsidR="004D0613" w:rsidRPr="00110633" w:rsidRDefault="004D0613" w:rsidP="00743086">
            <w:pPr>
              <w:rPr>
                <w:sz w:val="20"/>
                <w:szCs w:val="20"/>
                <w:lang w:val="fr-BE"/>
              </w:rPr>
            </w:pPr>
          </w:p>
          <w:p w:rsidR="004D0613" w:rsidRPr="00110633" w:rsidRDefault="004D0613" w:rsidP="004D0613">
            <w:pPr>
              <w:rPr>
                <w:sz w:val="20"/>
                <w:szCs w:val="20"/>
                <w:lang w:val="fr-BE"/>
              </w:rPr>
            </w:pPr>
            <w:r w:rsidRPr="00110633">
              <w:rPr>
                <w:sz w:val="20"/>
                <w:szCs w:val="20"/>
                <w:lang w:val="fr-BE"/>
              </w:rPr>
              <w:t xml:space="preserve">- Organisation de journées pour l'emploi, de séances d'information et de </w:t>
            </w:r>
            <w:proofErr w:type="spellStart"/>
            <w:r w:rsidRPr="00110633">
              <w:rPr>
                <w:sz w:val="20"/>
                <w:szCs w:val="20"/>
                <w:lang w:val="fr-BE"/>
              </w:rPr>
              <w:t>screenings</w:t>
            </w:r>
            <w:proofErr w:type="spellEnd"/>
            <w:r w:rsidRPr="00110633">
              <w:rPr>
                <w:sz w:val="20"/>
                <w:szCs w:val="20"/>
                <w:lang w:val="fr-BE"/>
              </w:rPr>
              <w:t xml:space="preserve">. </w:t>
            </w:r>
          </w:p>
          <w:p w:rsidR="004D0613" w:rsidRPr="00110633" w:rsidRDefault="004D0613" w:rsidP="00743086">
            <w:pPr>
              <w:rPr>
                <w:sz w:val="20"/>
                <w:szCs w:val="20"/>
                <w:lang w:val="fr-BE"/>
              </w:rPr>
            </w:pPr>
          </w:p>
          <w:p w:rsidR="004D0613" w:rsidRPr="00110633" w:rsidRDefault="004D0613" w:rsidP="00743086">
            <w:pPr>
              <w:rPr>
                <w:sz w:val="20"/>
                <w:szCs w:val="20"/>
                <w:lang w:val="fr-BE"/>
              </w:rPr>
            </w:pPr>
            <w:r w:rsidRPr="00110633">
              <w:rPr>
                <w:sz w:val="20"/>
                <w:szCs w:val="20"/>
                <w:lang w:val="fr-BE"/>
              </w:rPr>
              <w:t>- Informer de manière générale, générer de la publicité et du trafic vers les formations et trajets qui mènent à des emplois-tremplins dans le secteur.</w:t>
            </w:r>
          </w:p>
          <w:p w:rsidR="004D0613" w:rsidRPr="00110633" w:rsidRDefault="004D0613" w:rsidP="00743086">
            <w:pPr>
              <w:rPr>
                <w:sz w:val="20"/>
                <w:szCs w:val="20"/>
                <w:lang w:val="fr-BE"/>
              </w:rPr>
            </w:pPr>
          </w:p>
          <w:p w:rsidR="004D0613" w:rsidRPr="00110633" w:rsidRDefault="004D0613" w:rsidP="00743086">
            <w:pPr>
              <w:rPr>
                <w:sz w:val="20"/>
                <w:szCs w:val="20"/>
                <w:lang w:val="fr-BE"/>
              </w:rPr>
            </w:pPr>
            <w:r w:rsidRPr="00110633">
              <w:rPr>
                <w:sz w:val="20"/>
                <w:szCs w:val="20"/>
                <w:lang w:val="fr-BE"/>
              </w:rPr>
              <w:t xml:space="preserve">- Offrir une intervention financière aux jeunes qui s'engagent à suivre un trajet </w:t>
            </w:r>
            <w:proofErr w:type="spellStart"/>
            <w:r w:rsidRPr="00110633">
              <w:rPr>
                <w:sz w:val="20"/>
                <w:szCs w:val="20"/>
                <w:lang w:val="fr-BE"/>
              </w:rPr>
              <w:t>PlastIQ</w:t>
            </w:r>
            <w:proofErr w:type="spellEnd"/>
            <w:r w:rsidRPr="00110633">
              <w:rPr>
                <w:sz w:val="20"/>
                <w:szCs w:val="20"/>
                <w:lang w:val="fr-BE"/>
              </w:rPr>
              <w:t>, qui mène à un emploi-tremplin dans le secteur.</w:t>
            </w:r>
          </w:p>
          <w:p w:rsidR="004D0613" w:rsidRPr="00110633" w:rsidRDefault="004D0613" w:rsidP="002C707A">
            <w:pPr>
              <w:rPr>
                <w:lang w:val="fr-BE"/>
              </w:rPr>
            </w:pPr>
          </w:p>
        </w:tc>
        <w:tc>
          <w:tcPr>
            <w:tcW w:w="1384" w:type="dxa"/>
          </w:tcPr>
          <w:p w:rsidR="004D0613" w:rsidRPr="00110633" w:rsidRDefault="004D0613" w:rsidP="002C707A">
            <w:pPr>
              <w:rPr>
                <w:lang w:val="fr-BE"/>
              </w:rPr>
            </w:pPr>
          </w:p>
        </w:tc>
        <w:tc>
          <w:tcPr>
            <w:tcW w:w="1559" w:type="dxa"/>
          </w:tcPr>
          <w:p w:rsidR="004D0613" w:rsidRPr="00110633" w:rsidRDefault="0091762A" w:rsidP="002C707A">
            <w:pPr>
              <w:rPr>
                <w:lang w:val="fr-BE"/>
              </w:rPr>
            </w:pPr>
            <w:r w:rsidRPr="00110633">
              <w:rPr>
                <w:lang w:val="fr-BE"/>
              </w:rPr>
              <w:t>les demandeurs d'emploi de - de 26 ans</w:t>
            </w:r>
          </w:p>
        </w:tc>
        <w:tc>
          <w:tcPr>
            <w:tcW w:w="2079" w:type="dxa"/>
          </w:tcPr>
          <w:p w:rsidR="004D0613" w:rsidRPr="00110633" w:rsidRDefault="00FB23C2" w:rsidP="002C707A">
            <w:pPr>
              <w:rPr>
                <w:lang w:val="fr-BE"/>
              </w:rPr>
            </w:pPr>
            <w:r w:rsidRPr="00110633">
              <w:rPr>
                <w:lang w:val="fr-BE"/>
              </w:rPr>
              <w:t>informer 30.000 jeunes</w:t>
            </w:r>
          </w:p>
          <w:p w:rsidR="004D0613" w:rsidRPr="00110633" w:rsidRDefault="004D0613" w:rsidP="002C707A">
            <w:pPr>
              <w:rPr>
                <w:lang w:val="fr-BE"/>
              </w:rPr>
            </w:pPr>
          </w:p>
          <w:p w:rsidR="004D0613" w:rsidRPr="00110633" w:rsidRDefault="004D0613" w:rsidP="002C707A">
            <w:pPr>
              <w:rPr>
                <w:lang w:val="fr-BE"/>
              </w:rPr>
            </w:pPr>
          </w:p>
          <w:p w:rsidR="004D0613" w:rsidRPr="00110633" w:rsidRDefault="004D0613" w:rsidP="002C707A">
            <w:pPr>
              <w:rPr>
                <w:lang w:val="fr-BE"/>
              </w:rPr>
            </w:pPr>
          </w:p>
          <w:p w:rsidR="004D0613" w:rsidRPr="00110633" w:rsidRDefault="004D0613" w:rsidP="002C707A">
            <w:pPr>
              <w:rPr>
                <w:lang w:val="fr-BE"/>
              </w:rPr>
            </w:pPr>
          </w:p>
          <w:p w:rsidR="004D0613" w:rsidRPr="00110633" w:rsidRDefault="004D0613" w:rsidP="002C707A">
            <w:pPr>
              <w:rPr>
                <w:lang w:val="fr-BE"/>
              </w:rPr>
            </w:pPr>
          </w:p>
          <w:p w:rsidR="004D0613" w:rsidRPr="00110633" w:rsidRDefault="004D0613" w:rsidP="002C707A">
            <w:pPr>
              <w:rPr>
                <w:lang w:val="fr-BE"/>
              </w:rPr>
            </w:pPr>
          </w:p>
          <w:p w:rsidR="004D0613" w:rsidRPr="00110633" w:rsidRDefault="004D0613" w:rsidP="002C707A">
            <w:pPr>
              <w:rPr>
                <w:lang w:val="fr-BE"/>
              </w:rPr>
            </w:pPr>
          </w:p>
          <w:p w:rsidR="004D0613" w:rsidRPr="00110633" w:rsidRDefault="004D0613" w:rsidP="002C707A">
            <w:pPr>
              <w:rPr>
                <w:lang w:val="fr-BE"/>
              </w:rPr>
            </w:pPr>
          </w:p>
          <w:p w:rsidR="004D0613" w:rsidRPr="00110633" w:rsidRDefault="004D0613" w:rsidP="002C707A">
            <w:pPr>
              <w:rPr>
                <w:lang w:val="fr-BE"/>
              </w:rPr>
            </w:pPr>
          </w:p>
          <w:p w:rsidR="004D0613" w:rsidRPr="00110633" w:rsidRDefault="004D0613" w:rsidP="002C707A">
            <w:pPr>
              <w:rPr>
                <w:lang w:val="fr-BE"/>
              </w:rPr>
            </w:pPr>
          </w:p>
          <w:p w:rsidR="004D0613" w:rsidRPr="00110633" w:rsidRDefault="004D0613" w:rsidP="002C707A">
            <w:pPr>
              <w:rPr>
                <w:lang w:val="fr-BE"/>
              </w:rPr>
            </w:pPr>
          </w:p>
          <w:p w:rsidR="004D0613" w:rsidRPr="00110633" w:rsidRDefault="004D0613" w:rsidP="002C707A">
            <w:pPr>
              <w:rPr>
                <w:lang w:val="fr-BE"/>
              </w:rPr>
            </w:pPr>
          </w:p>
          <w:p w:rsidR="004D0613" w:rsidRPr="00110633" w:rsidRDefault="004D0613" w:rsidP="002C707A">
            <w:pPr>
              <w:rPr>
                <w:lang w:val="fr-BE"/>
              </w:rPr>
            </w:pPr>
          </w:p>
          <w:p w:rsidR="004D0613" w:rsidRPr="00110633" w:rsidRDefault="00FB23C2" w:rsidP="004D0613">
            <w:pPr>
              <w:rPr>
                <w:lang w:val="fr-BE"/>
              </w:rPr>
            </w:pPr>
            <w:r w:rsidRPr="00110633">
              <w:rPr>
                <w:lang w:val="fr-BE"/>
              </w:rPr>
              <w:t>72 jeunes</w:t>
            </w:r>
          </w:p>
          <w:p w:rsidR="004D0613" w:rsidRPr="00110633" w:rsidRDefault="004D0613" w:rsidP="002C707A">
            <w:pPr>
              <w:rPr>
                <w:lang w:val="fr-BE"/>
              </w:rPr>
            </w:pPr>
          </w:p>
        </w:tc>
        <w:tc>
          <w:tcPr>
            <w:tcW w:w="2126" w:type="dxa"/>
            <w:vMerge w:val="restart"/>
          </w:tcPr>
          <w:p w:rsidR="004D0613" w:rsidRPr="00110633" w:rsidRDefault="004D0613" w:rsidP="002C707A">
            <w:pPr>
              <w:rPr>
                <w:lang w:val="fr-BE"/>
              </w:rPr>
            </w:pPr>
          </w:p>
          <w:p w:rsidR="005C0E91" w:rsidRPr="00110633" w:rsidRDefault="005C0E91" w:rsidP="002C707A">
            <w:pPr>
              <w:rPr>
                <w:lang w:val="fr-BE"/>
              </w:rPr>
            </w:pPr>
          </w:p>
          <w:p w:rsidR="005C0E91" w:rsidRPr="00110633" w:rsidRDefault="005C0E91" w:rsidP="002C707A">
            <w:pPr>
              <w:rPr>
                <w:lang w:val="fr-BE"/>
              </w:rPr>
            </w:pPr>
          </w:p>
          <w:p w:rsidR="005C0E91" w:rsidRPr="00110633" w:rsidRDefault="00BA25B7" w:rsidP="002C707A">
            <w:pPr>
              <w:rPr>
                <w:lang w:val="fr-BE"/>
              </w:rPr>
            </w:pPr>
            <w:r w:rsidRPr="00110633">
              <w:rPr>
                <w:lang w:val="fr-BE"/>
              </w:rPr>
              <w:t>(campagne) € 170.000</w:t>
            </w:r>
          </w:p>
          <w:p w:rsidR="005C0E91" w:rsidRPr="00110633" w:rsidRDefault="005C0E91" w:rsidP="002C707A">
            <w:pPr>
              <w:rPr>
                <w:lang w:val="fr-BE"/>
              </w:rPr>
            </w:pPr>
          </w:p>
          <w:p w:rsidR="005C0E91" w:rsidRPr="00110633" w:rsidRDefault="005C0E91" w:rsidP="002C707A">
            <w:pPr>
              <w:rPr>
                <w:lang w:val="fr-BE"/>
              </w:rPr>
            </w:pPr>
          </w:p>
          <w:p w:rsidR="005C0E91" w:rsidRPr="00110633" w:rsidRDefault="00BA25B7" w:rsidP="002C707A">
            <w:pPr>
              <w:rPr>
                <w:lang w:val="fr-BE"/>
              </w:rPr>
            </w:pPr>
            <w:r w:rsidRPr="00110633">
              <w:rPr>
                <w:lang w:val="fr-BE"/>
              </w:rPr>
              <w:t>(recruteur, événements pour l'emploi, bourses) € 140.000</w:t>
            </w:r>
          </w:p>
          <w:p w:rsidR="005C0E91" w:rsidRPr="00110633" w:rsidRDefault="005C0E91" w:rsidP="002C707A">
            <w:pPr>
              <w:rPr>
                <w:lang w:val="fr-BE"/>
              </w:rPr>
            </w:pPr>
          </w:p>
          <w:p w:rsidR="005C0E91" w:rsidRPr="00110633" w:rsidRDefault="005C0E91" w:rsidP="002C707A">
            <w:pPr>
              <w:rPr>
                <w:lang w:val="fr-BE"/>
              </w:rPr>
            </w:pPr>
          </w:p>
          <w:p w:rsidR="005C0E91" w:rsidRPr="00110633" w:rsidRDefault="005C0E91" w:rsidP="002C707A">
            <w:pPr>
              <w:rPr>
                <w:lang w:val="fr-BE"/>
              </w:rPr>
            </w:pPr>
          </w:p>
          <w:p w:rsidR="005C0E91" w:rsidRPr="00110633" w:rsidRDefault="005C0E91" w:rsidP="002C707A">
            <w:pPr>
              <w:rPr>
                <w:lang w:val="fr-BE"/>
              </w:rPr>
            </w:pPr>
          </w:p>
          <w:p w:rsidR="005C0E91" w:rsidRPr="00110633" w:rsidRDefault="005C0E91" w:rsidP="002C707A">
            <w:pPr>
              <w:rPr>
                <w:lang w:val="fr-BE"/>
              </w:rPr>
            </w:pPr>
          </w:p>
          <w:p w:rsidR="005C0E91" w:rsidRPr="00110633" w:rsidRDefault="005C0E91" w:rsidP="002C707A">
            <w:pPr>
              <w:rPr>
                <w:lang w:val="fr-BE"/>
              </w:rPr>
            </w:pPr>
          </w:p>
          <w:p w:rsidR="005C0E91" w:rsidRPr="00110633" w:rsidRDefault="00BA25B7" w:rsidP="002C707A">
            <w:pPr>
              <w:rPr>
                <w:lang w:val="fr-BE"/>
              </w:rPr>
            </w:pPr>
            <w:r w:rsidRPr="00110633">
              <w:rPr>
                <w:lang w:val="fr-BE"/>
              </w:rPr>
              <w:t>(intervention financière pour les jeunes ) € 57.285</w:t>
            </w:r>
          </w:p>
          <w:p w:rsidR="00BA25B7" w:rsidRPr="00110633" w:rsidRDefault="00BA25B7" w:rsidP="002C707A">
            <w:pPr>
              <w:rPr>
                <w:lang w:val="fr-BE"/>
              </w:rPr>
            </w:pPr>
          </w:p>
          <w:p w:rsidR="00902CDC" w:rsidRPr="00110633" w:rsidRDefault="00902CDC" w:rsidP="002C707A">
            <w:pPr>
              <w:rPr>
                <w:lang w:val="fr-BE"/>
              </w:rPr>
            </w:pPr>
          </w:p>
          <w:p w:rsidR="00BA25B7" w:rsidRPr="00110633" w:rsidRDefault="00902CDC" w:rsidP="002C707A">
            <w:pPr>
              <w:rPr>
                <w:lang w:val="fr-BE"/>
              </w:rPr>
            </w:pPr>
            <w:r w:rsidRPr="00110633">
              <w:rPr>
                <w:lang w:val="fr-BE"/>
              </w:rPr>
              <w:t>(formation partenaires externes) € 90.000</w:t>
            </w:r>
          </w:p>
          <w:p w:rsidR="005C0E91" w:rsidRPr="00110633" w:rsidRDefault="005C0E91" w:rsidP="002C707A">
            <w:pPr>
              <w:rPr>
                <w:lang w:val="fr-BE"/>
              </w:rPr>
            </w:pPr>
          </w:p>
        </w:tc>
        <w:tc>
          <w:tcPr>
            <w:tcW w:w="2012" w:type="dxa"/>
          </w:tcPr>
          <w:p w:rsidR="004D0613" w:rsidRPr="00110633" w:rsidRDefault="004D0613" w:rsidP="002C707A">
            <w:pPr>
              <w:rPr>
                <w:lang w:val="fr-BE"/>
              </w:rPr>
            </w:pPr>
            <w:r w:rsidRPr="00110633">
              <w:rPr>
                <w:lang w:val="fr-BE"/>
              </w:rPr>
              <w:lastRenderedPageBreak/>
              <w:t>/</w:t>
            </w:r>
          </w:p>
        </w:tc>
      </w:tr>
      <w:tr w:rsidR="004D0613" w:rsidRPr="00110633" w:rsidTr="004D0613">
        <w:trPr>
          <w:trHeight w:val="1701"/>
        </w:trPr>
        <w:tc>
          <w:tcPr>
            <w:tcW w:w="534" w:type="dxa"/>
          </w:tcPr>
          <w:p w:rsidR="004D0613" w:rsidRPr="00110633" w:rsidRDefault="004D0613" w:rsidP="002C707A">
            <w:pPr>
              <w:rPr>
                <w:lang w:val="fr-BE"/>
              </w:rPr>
            </w:pPr>
            <w:r w:rsidRPr="00110633">
              <w:rPr>
                <w:lang w:val="fr-BE"/>
              </w:rPr>
              <w:lastRenderedPageBreak/>
              <w:t>2.</w:t>
            </w:r>
          </w:p>
        </w:tc>
        <w:tc>
          <w:tcPr>
            <w:tcW w:w="2976" w:type="dxa"/>
          </w:tcPr>
          <w:p w:rsidR="004D0613" w:rsidRPr="00110633" w:rsidRDefault="004D0613" w:rsidP="00743086">
            <w:pPr>
              <w:rPr>
                <w:lang w:val="fr-BE"/>
              </w:rPr>
            </w:pPr>
            <w:r w:rsidRPr="00110633">
              <w:rPr>
                <w:sz w:val="20"/>
                <w:szCs w:val="20"/>
                <w:lang w:val="fr-BE"/>
              </w:rPr>
              <w:t>Trajets de formation spécifiques régionaux pour les jeunes demandeurs d'emploi</w:t>
            </w:r>
          </w:p>
        </w:tc>
        <w:tc>
          <w:tcPr>
            <w:tcW w:w="3436" w:type="dxa"/>
          </w:tcPr>
          <w:p w:rsidR="004D0613" w:rsidRPr="00110633" w:rsidRDefault="004D0613" w:rsidP="00743086">
            <w:pPr>
              <w:rPr>
                <w:lang w:val="fr-BE"/>
              </w:rPr>
            </w:pPr>
            <w:r w:rsidRPr="00110633">
              <w:rPr>
                <w:sz w:val="20"/>
                <w:szCs w:val="20"/>
                <w:lang w:val="fr-BE"/>
              </w:rPr>
              <w:t>Organiser une combinaison de formations et expériences professionnelles pour les jeunes présentant des lacunes linguistiques, sans formation de base, avec une expérience insuffisante ou une absence d'attitudes sur le marché du travail.</w:t>
            </w:r>
          </w:p>
        </w:tc>
        <w:tc>
          <w:tcPr>
            <w:tcW w:w="1384" w:type="dxa"/>
          </w:tcPr>
          <w:p w:rsidR="004D0613" w:rsidRPr="00110633" w:rsidRDefault="004D0613" w:rsidP="002C707A">
            <w:pPr>
              <w:rPr>
                <w:lang w:val="fr-BE"/>
              </w:rPr>
            </w:pPr>
            <w:r w:rsidRPr="00110633">
              <w:rPr>
                <w:lang w:val="fr-BE"/>
              </w:rPr>
              <w:t xml:space="preserve">le VDAB </w:t>
            </w:r>
          </w:p>
          <w:p w:rsidR="004D0613" w:rsidRPr="00110633" w:rsidRDefault="004D0613" w:rsidP="002C707A">
            <w:pPr>
              <w:rPr>
                <w:lang w:val="fr-BE"/>
              </w:rPr>
            </w:pPr>
            <w:r w:rsidRPr="00110633">
              <w:rPr>
                <w:lang w:val="fr-BE"/>
              </w:rPr>
              <w:t xml:space="preserve">les entreprises du secteur </w:t>
            </w:r>
          </w:p>
        </w:tc>
        <w:tc>
          <w:tcPr>
            <w:tcW w:w="1559" w:type="dxa"/>
          </w:tcPr>
          <w:p w:rsidR="004D0613" w:rsidRPr="00110633" w:rsidRDefault="004D0613" w:rsidP="002C707A">
            <w:pPr>
              <w:rPr>
                <w:lang w:val="fr-BE"/>
              </w:rPr>
            </w:pPr>
            <w:r w:rsidRPr="00110633">
              <w:rPr>
                <w:lang w:val="fr-BE"/>
              </w:rPr>
              <w:t xml:space="preserve">les demandeurs d'emploi de - de 26 ans </w:t>
            </w:r>
          </w:p>
        </w:tc>
        <w:tc>
          <w:tcPr>
            <w:tcW w:w="2079" w:type="dxa"/>
          </w:tcPr>
          <w:p w:rsidR="004D0613" w:rsidRPr="00110633" w:rsidRDefault="00FB23C2" w:rsidP="002C707A">
            <w:pPr>
              <w:rPr>
                <w:lang w:val="fr-BE"/>
              </w:rPr>
            </w:pPr>
            <w:r w:rsidRPr="00110633">
              <w:rPr>
                <w:lang w:val="fr-BE"/>
              </w:rPr>
              <w:t>12 trajets</w:t>
            </w:r>
          </w:p>
          <w:p w:rsidR="004D0613" w:rsidRPr="00110633" w:rsidRDefault="00FB23C2" w:rsidP="002C707A">
            <w:pPr>
              <w:rPr>
                <w:lang w:val="fr-BE"/>
              </w:rPr>
            </w:pPr>
            <w:r w:rsidRPr="00110633">
              <w:rPr>
                <w:lang w:val="fr-BE"/>
              </w:rPr>
              <w:t>72 jeunes</w:t>
            </w:r>
          </w:p>
        </w:tc>
        <w:tc>
          <w:tcPr>
            <w:tcW w:w="2126" w:type="dxa"/>
            <w:vMerge/>
          </w:tcPr>
          <w:p w:rsidR="004D0613" w:rsidRPr="00110633" w:rsidRDefault="004D0613" w:rsidP="002C707A">
            <w:pPr>
              <w:rPr>
                <w:lang w:val="fr-BE"/>
              </w:rPr>
            </w:pPr>
          </w:p>
        </w:tc>
        <w:tc>
          <w:tcPr>
            <w:tcW w:w="2012" w:type="dxa"/>
          </w:tcPr>
          <w:p w:rsidR="004D0613" w:rsidRPr="00110633" w:rsidRDefault="004D0613" w:rsidP="002C707A">
            <w:pPr>
              <w:rPr>
                <w:lang w:val="fr-BE"/>
              </w:rPr>
            </w:pPr>
            <w:r w:rsidRPr="00110633">
              <w:rPr>
                <w:lang w:val="fr-BE"/>
              </w:rPr>
              <w:t>/</w:t>
            </w:r>
          </w:p>
        </w:tc>
      </w:tr>
      <w:tr w:rsidR="0091762A" w:rsidRPr="00110633" w:rsidTr="00BA25B7">
        <w:trPr>
          <w:trHeight w:val="1701"/>
        </w:trPr>
        <w:tc>
          <w:tcPr>
            <w:tcW w:w="534" w:type="dxa"/>
            <w:tcBorders>
              <w:bottom w:val="single" w:sz="4" w:space="0" w:color="auto"/>
            </w:tcBorders>
          </w:tcPr>
          <w:p w:rsidR="0091762A" w:rsidRPr="00110633" w:rsidRDefault="0091762A" w:rsidP="0091762A">
            <w:pPr>
              <w:rPr>
                <w:lang w:val="fr-BE"/>
              </w:rPr>
            </w:pPr>
            <w:r w:rsidRPr="00110633">
              <w:rPr>
                <w:lang w:val="fr-BE"/>
              </w:rPr>
              <w:lastRenderedPageBreak/>
              <w:t>3</w:t>
            </w:r>
          </w:p>
        </w:tc>
        <w:tc>
          <w:tcPr>
            <w:tcW w:w="2976" w:type="dxa"/>
            <w:tcBorders>
              <w:bottom w:val="single" w:sz="4" w:space="0" w:color="auto"/>
            </w:tcBorders>
          </w:tcPr>
          <w:p w:rsidR="0091762A" w:rsidRPr="00110633" w:rsidRDefault="0091762A" w:rsidP="0091762A">
            <w:pPr>
              <w:rPr>
                <w:sz w:val="20"/>
                <w:szCs w:val="20"/>
                <w:lang w:val="fr-BE"/>
              </w:rPr>
            </w:pPr>
            <w:r w:rsidRPr="00110633">
              <w:rPr>
                <w:sz w:val="20"/>
                <w:szCs w:val="20"/>
                <w:lang w:val="fr-BE"/>
              </w:rPr>
              <w:t>Soutenir les entreprises du secteur dans l'intégration des jeunes demandeurs d'emploi et offrir une formation de qualité sur le lieu de travail.</w:t>
            </w:r>
          </w:p>
          <w:p w:rsidR="0091762A" w:rsidRPr="00110633" w:rsidRDefault="0091762A" w:rsidP="0091762A">
            <w:pPr>
              <w:rPr>
                <w:lang w:val="fr-BE"/>
              </w:rPr>
            </w:pPr>
          </w:p>
        </w:tc>
        <w:tc>
          <w:tcPr>
            <w:tcW w:w="3436" w:type="dxa"/>
            <w:tcBorders>
              <w:bottom w:val="single" w:sz="4" w:space="0" w:color="auto"/>
            </w:tcBorders>
          </w:tcPr>
          <w:p w:rsidR="0091762A" w:rsidRPr="00110633" w:rsidRDefault="0091762A" w:rsidP="0091762A">
            <w:pPr>
              <w:pStyle w:val="Lijstalinea"/>
              <w:numPr>
                <w:ilvl w:val="0"/>
                <w:numId w:val="4"/>
              </w:numPr>
              <w:rPr>
                <w:sz w:val="20"/>
                <w:szCs w:val="20"/>
                <w:lang w:val="fr-BE"/>
              </w:rPr>
            </w:pPr>
            <w:r w:rsidRPr="00110633">
              <w:rPr>
                <w:sz w:val="20"/>
                <w:szCs w:val="20"/>
                <w:lang w:val="fr-BE"/>
              </w:rPr>
              <w:t>Encourager les entreprises de formation à suivre des formations en mentorat.</w:t>
            </w:r>
          </w:p>
          <w:p w:rsidR="0091762A" w:rsidRPr="00110633" w:rsidRDefault="0091762A" w:rsidP="0091762A">
            <w:pPr>
              <w:pStyle w:val="Lijstalinea"/>
              <w:numPr>
                <w:ilvl w:val="0"/>
                <w:numId w:val="4"/>
              </w:numPr>
              <w:rPr>
                <w:lang w:val="fr-BE"/>
              </w:rPr>
            </w:pPr>
            <w:r w:rsidRPr="00110633">
              <w:rPr>
                <w:sz w:val="20"/>
                <w:szCs w:val="20"/>
                <w:lang w:val="fr-BE"/>
              </w:rPr>
              <w:t>Offrir des outils numériques pour le suivi des compétences des jeunes dans les emplois-tremplins</w:t>
            </w:r>
          </w:p>
        </w:tc>
        <w:tc>
          <w:tcPr>
            <w:tcW w:w="1384" w:type="dxa"/>
            <w:tcBorders>
              <w:bottom w:val="single" w:sz="4" w:space="0" w:color="auto"/>
            </w:tcBorders>
          </w:tcPr>
          <w:p w:rsidR="0091762A" w:rsidRPr="00110633" w:rsidRDefault="0091762A" w:rsidP="0091762A">
            <w:pPr>
              <w:rPr>
                <w:lang w:val="fr-BE"/>
              </w:rPr>
            </w:pPr>
          </w:p>
        </w:tc>
        <w:tc>
          <w:tcPr>
            <w:tcW w:w="1559" w:type="dxa"/>
            <w:tcBorders>
              <w:bottom w:val="single" w:sz="4" w:space="0" w:color="auto"/>
            </w:tcBorders>
          </w:tcPr>
          <w:p w:rsidR="0091762A" w:rsidRPr="00110633" w:rsidRDefault="005C0E91" w:rsidP="0091762A">
            <w:pPr>
              <w:rPr>
                <w:lang w:val="fr-BE"/>
              </w:rPr>
            </w:pPr>
            <w:r w:rsidRPr="00110633">
              <w:rPr>
                <w:lang w:val="fr-BE"/>
              </w:rPr>
              <w:t>les demandeurs d'emploi de - de 26 ans</w:t>
            </w:r>
          </w:p>
        </w:tc>
        <w:tc>
          <w:tcPr>
            <w:tcW w:w="2079" w:type="dxa"/>
            <w:tcBorders>
              <w:bottom w:val="single" w:sz="4" w:space="0" w:color="auto"/>
            </w:tcBorders>
          </w:tcPr>
          <w:p w:rsidR="0091762A" w:rsidRPr="00110633" w:rsidRDefault="00FB23C2" w:rsidP="0091762A">
            <w:pPr>
              <w:rPr>
                <w:lang w:val="fr-BE"/>
              </w:rPr>
            </w:pPr>
            <w:r w:rsidRPr="00110633">
              <w:rPr>
                <w:lang w:val="fr-BE"/>
              </w:rPr>
              <w:t>30 mentors</w:t>
            </w:r>
          </w:p>
          <w:p w:rsidR="0091762A" w:rsidRPr="00110633" w:rsidRDefault="0091762A" w:rsidP="0091762A">
            <w:pPr>
              <w:rPr>
                <w:lang w:val="fr-BE"/>
              </w:rPr>
            </w:pPr>
            <w:r w:rsidRPr="00110633">
              <w:rPr>
                <w:lang w:val="fr-BE"/>
              </w:rPr>
              <w:t xml:space="preserve"> </w:t>
            </w:r>
          </w:p>
        </w:tc>
        <w:tc>
          <w:tcPr>
            <w:tcW w:w="2126" w:type="dxa"/>
          </w:tcPr>
          <w:p w:rsidR="0091762A" w:rsidRPr="00110633" w:rsidRDefault="00BA25B7" w:rsidP="0091762A">
            <w:pPr>
              <w:rPr>
                <w:lang w:val="fr-BE"/>
              </w:rPr>
            </w:pPr>
            <w:r w:rsidRPr="00110633">
              <w:rPr>
                <w:lang w:val="fr-BE"/>
              </w:rPr>
              <w:t>(plate-forme) € 74.000</w:t>
            </w:r>
          </w:p>
        </w:tc>
        <w:tc>
          <w:tcPr>
            <w:tcW w:w="2012" w:type="dxa"/>
          </w:tcPr>
          <w:p w:rsidR="0091762A" w:rsidRPr="00110633" w:rsidRDefault="0091762A" w:rsidP="0091762A">
            <w:pPr>
              <w:rPr>
                <w:lang w:val="fr-BE"/>
              </w:rPr>
            </w:pPr>
            <w:r w:rsidRPr="00110633">
              <w:rPr>
                <w:lang w:val="fr-BE"/>
              </w:rPr>
              <w:t>/</w:t>
            </w:r>
          </w:p>
        </w:tc>
      </w:tr>
      <w:tr w:rsidR="00BA25B7" w:rsidRPr="00110633" w:rsidTr="00BA25B7">
        <w:trPr>
          <w:trHeight w:val="1701"/>
        </w:trPr>
        <w:tc>
          <w:tcPr>
            <w:tcW w:w="11968" w:type="dxa"/>
            <w:gridSpan w:val="6"/>
            <w:tcBorders>
              <w:left w:val="nil"/>
              <w:bottom w:val="nil"/>
            </w:tcBorders>
          </w:tcPr>
          <w:p w:rsidR="00BA25B7" w:rsidRPr="00110633" w:rsidRDefault="00BA25B7" w:rsidP="0091762A">
            <w:pPr>
              <w:rPr>
                <w:lang w:val="fr-BE"/>
              </w:rPr>
            </w:pPr>
          </w:p>
        </w:tc>
        <w:tc>
          <w:tcPr>
            <w:tcW w:w="2126" w:type="dxa"/>
          </w:tcPr>
          <w:p w:rsidR="00BA25B7" w:rsidRPr="00110633" w:rsidRDefault="00BA25B7" w:rsidP="0091762A">
            <w:pPr>
              <w:rPr>
                <w:lang w:val="fr-BE"/>
              </w:rPr>
            </w:pPr>
            <w:r w:rsidRPr="00110633">
              <w:rPr>
                <w:lang w:val="fr-BE"/>
              </w:rPr>
              <w:t>(frais de personnel et généraux)</w:t>
            </w:r>
          </w:p>
          <w:p w:rsidR="00BA25B7" w:rsidRPr="00110633" w:rsidRDefault="00BA25B7" w:rsidP="0091762A">
            <w:pPr>
              <w:rPr>
                <w:lang w:val="fr-BE"/>
              </w:rPr>
            </w:pPr>
            <w:r w:rsidRPr="00110633">
              <w:rPr>
                <w:lang w:val="fr-BE"/>
              </w:rPr>
              <w:t>€ 189.100</w:t>
            </w:r>
          </w:p>
        </w:tc>
        <w:tc>
          <w:tcPr>
            <w:tcW w:w="2012" w:type="dxa"/>
          </w:tcPr>
          <w:p w:rsidR="00BA25B7" w:rsidRPr="00110633" w:rsidRDefault="00BA25B7" w:rsidP="0091762A">
            <w:pPr>
              <w:rPr>
                <w:lang w:val="fr-BE"/>
              </w:rPr>
            </w:pPr>
          </w:p>
        </w:tc>
      </w:tr>
      <w:tr w:rsidR="004D0613" w:rsidRPr="00110633" w:rsidTr="00A1451F">
        <w:trPr>
          <w:trHeight w:val="707"/>
        </w:trPr>
        <w:tc>
          <w:tcPr>
            <w:tcW w:w="9889" w:type="dxa"/>
            <w:gridSpan w:val="5"/>
            <w:tcBorders>
              <w:top w:val="nil"/>
              <w:left w:val="nil"/>
              <w:bottom w:val="nil"/>
            </w:tcBorders>
          </w:tcPr>
          <w:p w:rsidR="004D0613" w:rsidRPr="00110633" w:rsidRDefault="004D0613" w:rsidP="002C707A">
            <w:pPr>
              <w:jc w:val="right"/>
              <w:rPr>
                <w:sz w:val="30"/>
                <w:szCs w:val="30"/>
                <w:lang w:val="fr-BE"/>
              </w:rPr>
            </w:pPr>
            <w:r w:rsidRPr="00110633">
              <w:rPr>
                <w:sz w:val="30"/>
                <w:szCs w:val="30"/>
                <w:lang w:val="fr-BE"/>
              </w:rPr>
              <w:t>Total</w:t>
            </w:r>
          </w:p>
        </w:tc>
        <w:tc>
          <w:tcPr>
            <w:tcW w:w="2079" w:type="dxa"/>
            <w:tcBorders>
              <w:top w:val="single" w:sz="4" w:space="0" w:color="auto"/>
            </w:tcBorders>
          </w:tcPr>
          <w:p w:rsidR="004D0613" w:rsidRPr="00110633" w:rsidRDefault="0091762A" w:rsidP="002C707A">
            <w:pPr>
              <w:rPr>
                <w:lang w:val="fr-BE"/>
              </w:rPr>
            </w:pPr>
            <w:r w:rsidRPr="00110633">
              <w:rPr>
                <w:lang w:val="fr-BE"/>
              </w:rPr>
              <w:t xml:space="preserve">30.072 jeunes/2 ans </w:t>
            </w:r>
          </w:p>
          <w:p w:rsidR="004D0613" w:rsidRPr="00110633" w:rsidRDefault="004D0613" w:rsidP="002C707A">
            <w:pPr>
              <w:rPr>
                <w:lang w:val="fr-BE"/>
              </w:rPr>
            </w:pPr>
          </w:p>
        </w:tc>
        <w:tc>
          <w:tcPr>
            <w:tcW w:w="2126" w:type="dxa"/>
          </w:tcPr>
          <w:p w:rsidR="004D0613" w:rsidRPr="00110633" w:rsidRDefault="0091762A" w:rsidP="002C707A">
            <w:pPr>
              <w:rPr>
                <w:lang w:val="fr-BE"/>
              </w:rPr>
            </w:pPr>
            <w:r w:rsidRPr="00110633">
              <w:rPr>
                <w:lang w:val="fr-BE"/>
              </w:rPr>
              <w:t>€ 720.385</w:t>
            </w:r>
          </w:p>
        </w:tc>
        <w:tc>
          <w:tcPr>
            <w:tcW w:w="2012" w:type="dxa"/>
          </w:tcPr>
          <w:p w:rsidR="004D0613" w:rsidRPr="00110633" w:rsidRDefault="004D0613" w:rsidP="002C707A">
            <w:pPr>
              <w:rPr>
                <w:lang w:val="fr-BE"/>
              </w:rPr>
            </w:pPr>
            <w:r w:rsidRPr="00110633">
              <w:rPr>
                <w:lang w:val="fr-BE"/>
              </w:rPr>
              <w:t>/</w:t>
            </w:r>
          </w:p>
        </w:tc>
      </w:tr>
    </w:tbl>
    <w:p w:rsidR="00575012" w:rsidRPr="00110633" w:rsidRDefault="00575012" w:rsidP="00575012">
      <w:pPr>
        <w:rPr>
          <w:lang w:val="fr-BE"/>
        </w:rPr>
      </w:pPr>
    </w:p>
    <w:p w:rsidR="00575012" w:rsidRPr="00110633" w:rsidRDefault="00575012" w:rsidP="00575012">
      <w:pPr>
        <w:rPr>
          <w:lang w:val="fr-BE"/>
        </w:rPr>
      </w:pPr>
    </w:p>
    <w:p w:rsidR="003B5287" w:rsidRPr="00110633" w:rsidRDefault="00C04469" w:rsidP="002C707A">
      <w:pPr>
        <w:rPr>
          <w:lang w:val="fr-BE"/>
        </w:rPr>
      </w:pPr>
    </w:p>
    <w:sectPr w:rsidR="003B5287" w:rsidRPr="00110633" w:rsidSect="004A0B4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3C80"/>
    <w:multiLevelType w:val="hybridMultilevel"/>
    <w:tmpl w:val="BA968C88"/>
    <w:lvl w:ilvl="0" w:tplc="FFFFFFFF">
      <w:start w:val="1"/>
      <w:numFmt w:val="bullet"/>
      <w:lvlText w:val=""/>
      <w:lvlJc w:val="left"/>
      <w:pPr>
        <w:ind w:left="720" w:hanging="360"/>
      </w:pPr>
      <w:rPr>
        <w:rFonts w:ascii="Symbol" w:hAnsi="Symbol" w:hint="default"/>
      </w:rPr>
    </w:lvl>
    <w:lvl w:ilvl="1" w:tplc="A20885DE">
      <w:start w:val="5"/>
      <w:numFmt w:val="bullet"/>
      <w:lvlText w:val="-"/>
      <w:lvlJc w:val="left"/>
      <w:pPr>
        <w:ind w:left="1440" w:hanging="360"/>
      </w:pPr>
      <w:rPr>
        <w:rFonts w:ascii="Calibri" w:eastAsiaTheme="minorHAnsi" w:hAnsi="Calibri"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6CC6939"/>
    <w:multiLevelType w:val="hybridMultilevel"/>
    <w:tmpl w:val="68CA8132"/>
    <w:lvl w:ilvl="0" w:tplc="BA2EED98">
      <w:start w:val="15"/>
      <w:numFmt w:val="bullet"/>
      <w:lvlText w:val=""/>
      <w:lvlJc w:val="left"/>
      <w:pPr>
        <w:ind w:left="720" w:hanging="360"/>
      </w:pPr>
      <w:rPr>
        <w:rFonts w:ascii="Wingdings" w:eastAsiaTheme="minorHAnsi" w:hAnsi="Wingdings" w:cstheme="minorBidi"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1BD78D3"/>
    <w:multiLevelType w:val="hybridMultilevel"/>
    <w:tmpl w:val="00FE7EE0"/>
    <w:lvl w:ilvl="0" w:tplc="B5482676">
      <w:start w:val="1"/>
      <w:numFmt w:val="upperRoman"/>
      <w:lvlText w:val="%1."/>
      <w:lvlJc w:val="right"/>
      <w:pPr>
        <w:ind w:left="720" w:hanging="360"/>
      </w:pPr>
    </w:lvl>
    <w:lvl w:ilvl="1" w:tplc="044669EE">
      <w:start w:val="1"/>
      <w:numFmt w:val="lowerLetter"/>
      <w:lvlText w:val="%2."/>
      <w:lvlJc w:val="left"/>
      <w:pPr>
        <w:ind w:left="1440" w:hanging="360"/>
      </w:pPr>
    </w:lvl>
    <w:lvl w:ilvl="2" w:tplc="2700ADEC">
      <w:start w:val="1"/>
      <w:numFmt w:val="lowerRoman"/>
      <w:lvlText w:val="%3."/>
      <w:lvlJc w:val="right"/>
      <w:pPr>
        <w:ind w:left="2160" w:hanging="180"/>
      </w:pPr>
    </w:lvl>
    <w:lvl w:ilvl="3" w:tplc="CA025C1C">
      <w:start w:val="1"/>
      <w:numFmt w:val="decimal"/>
      <w:lvlText w:val="%4."/>
      <w:lvlJc w:val="left"/>
      <w:pPr>
        <w:ind w:left="2880" w:hanging="360"/>
      </w:pPr>
    </w:lvl>
    <w:lvl w:ilvl="4" w:tplc="2776491E">
      <w:start w:val="1"/>
      <w:numFmt w:val="lowerLetter"/>
      <w:lvlText w:val="%5."/>
      <w:lvlJc w:val="left"/>
      <w:pPr>
        <w:ind w:left="3600" w:hanging="360"/>
      </w:pPr>
    </w:lvl>
    <w:lvl w:ilvl="5" w:tplc="8ADCBA82">
      <w:start w:val="1"/>
      <w:numFmt w:val="lowerRoman"/>
      <w:lvlText w:val="%6."/>
      <w:lvlJc w:val="right"/>
      <w:pPr>
        <w:ind w:left="4320" w:hanging="180"/>
      </w:pPr>
    </w:lvl>
    <w:lvl w:ilvl="6" w:tplc="932CA832">
      <w:start w:val="1"/>
      <w:numFmt w:val="decimal"/>
      <w:lvlText w:val="%7."/>
      <w:lvlJc w:val="left"/>
      <w:pPr>
        <w:ind w:left="5040" w:hanging="360"/>
      </w:pPr>
    </w:lvl>
    <w:lvl w:ilvl="7" w:tplc="072801DA">
      <w:start w:val="1"/>
      <w:numFmt w:val="lowerLetter"/>
      <w:lvlText w:val="%8."/>
      <w:lvlJc w:val="left"/>
      <w:pPr>
        <w:ind w:left="5760" w:hanging="360"/>
      </w:pPr>
    </w:lvl>
    <w:lvl w:ilvl="8" w:tplc="46848A18">
      <w:start w:val="1"/>
      <w:numFmt w:val="lowerRoman"/>
      <w:lvlText w:val="%9."/>
      <w:lvlJc w:val="right"/>
      <w:pPr>
        <w:ind w:left="6480" w:hanging="180"/>
      </w:pPr>
    </w:lvl>
  </w:abstractNum>
  <w:abstractNum w:abstractNumId="3">
    <w:nsid w:val="234B21D1"/>
    <w:multiLevelType w:val="hybridMultilevel"/>
    <w:tmpl w:val="36F01B00"/>
    <w:lvl w:ilvl="0" w:tplc="8758ABB8">
      <w:start w:val="15"/>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7314042"/>
    <w:multiLevelType w:val="hybridMultilevel"/>
    <w:tmpl w:val="8708D5F8"/>
    <w:lvl w:ilvl="0" w:tplc="F70E64B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BB03AEF"/>
    <w:multiLevelType w:val="hybridMultilevel"/>
    <w:tmpl w:val="794003A6"/>
    <w:lvl w:ilvl="0" w:tplc="9684D664">
      <w:start w:val="1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2503E62"/>
    <w:multiLevelType w:val="hybridMultilevel"/>
    <w:tmpl w:val="82F4381C"/>
    <w:lvl w:ilvl="0" w:tplc="3A3ED226">
      <w:start w:val="15"/>
      <w:numFmt w:val="bullet"/>
      <w:lvlText w:val=""/>
      <w:lvlJc w:val="left"/>
      <w:pPr>
        <w:ind w:left="720" w:hanging="360"/>
      </w:pPr>
      <w:rPr>
        <w:rFonts w:ascii="Wingdings" w:eastAsiaTheme="minorHAnsi" w:hAnsi="Wingdings" w:cstheme="minorBidi"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5107CE4"/>
    <w:multiLevelType w:val="hybridMultilevel"/>
    <w:tmpl w:val="4CB29612"/>
    <w:lvl w:ilvl="0" w:tplc="5F023C3C">
      <w:start w:val="15"/>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6B141BC2"/>
    <w:multiLevelType w:val="hybridMultilevel"/>
    <w:tmpl w:val="0802953A"/>
    <w:lvl w:ilvl="0" w:tplc="C310E31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7"/>
  </w:num>
  <w:num w:numId="5">
    <w:abstractNumId w:val="3"/>
  </w:num>
  <w:num w:numId="6">
    <w:abstractNumId w:val="6"/>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B40"/>
    <w:rsid w:val="00087BE2"/>
    <w:rsid w:val="00110633"/>
    <w:rsid w:val="00142309"/>
    <w:rsid w:val="002C707A"/>
    <w:rsid w:val="003B3BEA"/>
    <w:rsid w:val="004A0B40"/>
    <w:rsid w:val="004D0613"/>
    <w:rsid w:val="00575012"/>
    <w:rsid w:val="005C0E91"/>
    <w:rsid w:val="00743086"/>
    <w:rsid w:val="007A4849"/>
    <w:rsid w:val="00902CDC"/>
    <w:rsid w:val="0091762A"/>
    <w:rsid w:val="00A1451F"/>
    <w:rsid w:val="00AE3DE9"/>
    <w:rsid w:val="00BA25B7"/>
    <w:rsid w:val="00BE060F"/>
    <w:rsid w:val="00C04469"/>
    <w:rsid w:val="00FB23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A0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430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A0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43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1788</Characters>
  <Application>Microsoft Office Word</Application>
  <DocSecurity>4</DocSecurity>
  <Lines>14</Lines>
  <Paragraphs>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FOD Werkgelegenheid, Arbeid en Sociaal Overleg</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SCHEERLINCK Frederik</dc:creator>
  <cp:lastModifiedBy>SCHEERLINCK Frederik</cp:lastModifiedBy>
  <cp:revision>2</cp:revision>
  <dcterms:created xsi:type="dcterms:W3CDTF">2018-02-09T14:19:00Z</dcterms:created>
  <dcterms:modified xsi:type="dcterms:W3CDTF">2018-02-09T14:19:00Z</dcterms:modified>
</cp:coreProperties>
</file>